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87D7C4C" w:rsidR="00AA17EC" w:rsidRDefault="00AA17EC" w:rsidP="00892FBC">
      <w:pPr>
        <w:rPr>
          <w:rFonts w:cs="Arial"/>
        </w:rPr>
      </w:pPr>
    </w:p>
    <w:p w14:paraId="0116554B" w14:textId="50D2BE17" w:rsidR="00956499" w:rsidRDefault="00956499" w:rsidP="00892FBC">
      <w:pPr>
        <w:rPr>
          <w:rFonts w:cs="Arial"/>
        </w:rPr>
      </w:pPr>
    </w:p>
    <w:p w14:paraId="3FD359C4" w14:textId="7971658C" w:rsidR="00956499" w:rsidRDefault="00956499" w:rsidP="00892FBC">
      <w:pPr>
        <w:rPr>
          <w:rFonts w:cs="Arial"/>
        </w:rPr>
      </w:pPr>
    </w:p>
    <w:p w14:paraId="0E51AC4A" w14:textId="77777777" w:rsidR="00956499" w:rsidRPr="002C0ED4" w:rsidRDefault="00956499"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1F5E0513" w:rsidR="001B0548" w:rsidRPr="002C0ED4" w:rsidRDefault="001B0548" w:rsidP="00892FBC">
      <w:pPr>
        <w:rPr>
          <w:rFonts w:cs="Arial"/>
        </w:rPr>
      </w:pPr>
    </w:p>
    <w:p w14:paraId="6C343E1B" w14:textId="199E32BC" w:rsidR="00297C82" w:rsidRPr="00416586" w:rsidRDefault="00C25F01" w:rsidP="00297C82">
      <w:pPr>
        <w:spacing w:before="240"/>
        <w:jc w:val="center"/>
        <w:rPr>
          <w:rFonts w:cs="Arial"/>
          <w:sz w:val="22"/>
        </w:rPr>
      </w:pPr>
      <w:r>
        <w:rPr>
          <w:rFonts w:eastAsia="Times New Roman" w:cs="Arial"/>
          <w:b/>
          <w:color w:val="AC0000"/>
          <w:sz w:val="50"/>
          <w:szCs w:val="48"/>
          <w:lang w:val="en-AU"/>
        </w:rPr>
        <w:t>TEMPATE</w:t>
      </w:r>
      <w:r>
        <w:rPr>
          <w:rFonts w:eastAsia="Times New Roman" w:cs="Arial"/>
          <w:b/>
          <w:color w:val="AC0000"/>
          <w:sz w:val="50"/>
          <w:szCs w:val="48"/>
          <w:lang w:val="en-AU"/>
        </w:rPr>
        <w:br/>
      </w:r>
      <w:r w:rsidR="0049388D" w:rsidRPr="00416586">
        <w:rPr>
          <w:rFonts w:eastAsia="Times New Roman" w:cs="Arial"/>
          <w:b/>
          <w:color w:val="AC0000"/>
          <w:sz w:val="50"/>
          <w:szCs w:val="48"/>
          <w:lang w:val="en-AU"/>
        </w:rPr>
        <w:t>DP</w:t>
      </w:r>
      <w:r w:rsidR="003C1A3E" w:rsidRPr="00416586">
        <w:rPr>
          <w:rFonts w:eastAsia="Times New Roman" w:cs="Arial"/>
          <w:b/>
          <w:color w:val="AC0000"/>
          <w:sz w:val="50"/>
          <w:szCs w:val="48"/>
          <w:lang w:val="en-AU"/>
        </w:rPr>
        <w:t xml:space="preserve"> </w:t>
      </w:r>
      <w:r w:rsidR="00416586" w:rsidRPr="00416586">
        <w:rPr>
          <w:rFonts w:eastAsia="Times New Roman" w:cs="Arial"/>
          <w:b/>
          <w:color w:val="AC0000"/>
          <w:sz w:val="50"/>
          <w:szCs w:val="48"/>
          <w:lang w:val="en-AU"/>
        </w:rPr>
        <w:t>JOB DESCRIPTION AND RESPONSIBILITIES</w:t>
      </w:r>
      <w:r w:rsidR="00D55ABE">
        <w:rPr>
          <w:rFonts w:eastAsia="Times New Roman" w:cs="Arial"/>
          <w:b/>
          <w:color w:val="AC0000"/>
          <w:sz w:val="50"/>
          <w:szCs w:val="48"/>
          <w:lang w:val="en-AU"/>
        </w:rPr>
        <w:br/>
      </w:r>
    </w:p>
    <w:p w14:paraId="634A76E8" w14:textId="77777777" w:rsidR="00572C29" w:rsidRPr="002C0ED4" w:rsidRDefault="00572C29" w:rsidP="00297C82">
      <w:pPr>
        <w:spacing w:before="240"/>
        <w:jc w:val="center"/>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514E5CAA" w:rsidR="00AA17EC" w:rsidRPr="002C0ED4" w:rsidRDefault="00297C82"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69A11AE9" w:rsidR="00AA17EC" w:rsidRPr="002C0ED4" w:rsidRDefault="00416586" w:rsidP="00441F6A">
            <w:pPr>
              <w:pStyle w:val="HeadingLv2"/>
              <w:rPr>
                <w:rFonts w:ascii="Arial" w:hAnsi="Arial" w:cs="Arial"/>
                <w:lang w:val="de-DE"/>
              </w:rPr>
            </w:pPr>
            <w:r w:rsidRPr="00416586">
              <w:rPr>
                <w:rFonts w:ascii="Arial" w:hAnsi="Arial" w:cs="Arial"/>
                <w:lang w:val="de-DE"/>
              </w:rPr>
              <w:t>35e-BM/SG/HDCV/FSOFT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0D260D27" w:rsidR="00AA17EC" w:rsidRPr="002C0ED4" w:rsidRDefault="009F0AA1" w:rsidP="00892FBC">
            <w:pPr>
              <w:pStyle w:val="HeadingLv2"/>
              <w:rPr>
                <w:rFonts w:ascii="Arial" w:hAnsi="Arial" w:cs="Arial"/>
              </w:rPr>
            </w:pPr>
            <w:r>
              <w:rPr>
                <w:rFonts w:ascii="Arial" w:hAnsi="Arial" w:cs="Arial"/>
                <w:lang w:val="de-DE"/>
              </w:rPr>
              <w:t>1</w:t>
            </w:r>
            <w:r w:rsidR="00906CDE">
              <w:rPr>
                <w:rFonts w:ascii="Arial" w:hAnsi="Arial" w:cs="Arial"/>
                <w:lang w:val="de-DE"/>
              </w:rPr>
              <w:t>.</w:t>
            </w:r>
            <w:r w:rsidR="00FE2EF5">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12335DB4" w:rsidR="00AA17EC" w:rsidRPr="002C0ED4" w:rsidRDefault="001F4217" w:rsidP="00416586">
            <w:pPr>
              <w:pStyle w:val="HeadingLv2"/>
              <w:rPr>
                <w:rFonts w:ascii="Arial" w:hAnsi="Arial" w:cs="Arial"/>
              </w:rPr>
            </w:pPr>
            <w:r>
              <w:rPr>
                <w:rFonts w:ascii="Arial" w:hAnsi="Arial" w:cs="Arial"/>
                <w:lang w:val="de-DE"/>
              </w:rPr>
              <w:t xml:space="preserve"> </w:t>
            </w:r>
            <w:r w:rsidR="009F0AA1">
              <w:rPr>
                <w:rFonts w:ascii="Arial" w:hAnsi="Arial" w:cs="Arial"/>
                <w:lang w:val="de-DE"/>
              </w:rPr>
              <w:t>01</w:t>
            </w:r>
            <w:r w:rsidR="00416586">
              <w:rPr>
                <w:rFonts w:ascii="Arial" w:hAnsi="Arial" w:cs="Arial"/>
                <w:lang w:val="de-DE"/>
              </w:rPr>
              <w:t>.</w:t>
            </w:r>
            <w:r w:rsidR="00FE2EF5">
              <w:rPr>
                <w:rFonts w:ascii="Arial" w:hAnsi="Arial" w:cs="Arial"/>
                <w:lang w:val="de-DE"/>
              </w:rPr>
              <w:t>11</w:t>
            </w:r>
            <w:r w:rsidR="00416586">
              <w:rPr>
                <w:rFonts w:ascii="Arial" w:hAnsi="Arial" w:cs="Arial"/>
                <w:lang w:val="de-DE"/>
              </w:rPr>
              <w:t>.</w:t>
            </w:r>
            <w:r w:rsidR="003E1CFD" w:rsidRPr="002C0ED4">
              <w:rPr>
                <w:rFonts w:ascii="Arial" w:hAnsi="Arial" w:cs="Arial"/>
                <w:lang w:val="de-DE"/>
              </w:rPr>
              <w:t>20</w:t>
            </w:r>
            <w:r w:rsidR="007244EA">
              <w:rPr>
                <w:rFonts w:ascii="Arial" w:hAnsi="Arial" w:cs="Arial"/>
                <w:lang w:val="de-DE"/>
              </w:rPr>
              <w:t>2</w:t>
            </w:r>
            <w:r w:rsidR="00955814">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402C00">
      <w:pPr>
        <w:pStyle w:val="NormalH"/>
      </w:pPr>
      <w:r w:rsidRPr="002C0ED4">
        <w:lastRenderedPageBreak/>
        <w:t>Table of content</w:t>
      </w:r>
    </w:p>
    <w:p w14:paraId="07CB9AA3" w14:textId="4D83760C" w:rsidR="002768DF" w:rsidRDefault="003C72EB">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462201" w:history="1">
        <w:r w:rsidR="002768DF" w:rsidRPr="00A32CBF">
          <w:rPr>
            <w:rStyle w:val="Hyperlink"/>
            <w:rFonts w:cs="Arial"/>
            <w:noProof/>
          </w:rPr>
          <w:t>1</w:t>
        </w:r>
        <w:r w:rsidR="002768DF">
          <w:rPr>
            <w:rFonts w:asciiTheme="minorHAnsi" w:eastAsiaTheme="minorEastAsia" w:hAnsiTheme="minorHAnsi" w:cstheme="minorBidi"/>
            <w:noProof/>
            <w:sz w:val="24"/>
            <w:szCs w:val="24"/>
          </w:rPr>
          <w:tab/>
        </w:r>
        <w:r w:rsidR="002768DF" w:rsidRPr="00A32CBF">
          <w:rPr>
            <w:rStyle w:val="Hyperlink"/>
            <w:rFonts w:cs="Arial"/>
            <w:noProof/>
          </w:rPr>
          <w:t>INTRODUCTION</w:t>
        </w:r>
        <w:r w:rsidR="002768DF">
          <w:rPr>
            <w:noProof/>
            <w:webHidden/>
          </w:rPr>
          <w:tab/>
        </w:r>
        <w:r w:rsidR="002768DF">
          <w:rPr>
            <w:noProof/>
            <w:webHidden/>
          </w:rPr>
          <w:fldChar w:fldCharType="begin"/>
        </w:r>
        <w:r w:rsidR="002768DF">
          <w:rPr>
            <w:noProof/>
            <w:webHidden/>
          </w:rPr>
          <w:instrText xml:space="preserve"> PAGEREF _Toc118462201 \h </w:instrText>
        </w:r>
        <w:r w:rsidR="002768DF">
          <w:rPr>
            <w:noProof/>
            <w:webHidden/>
          </w:rPr>
        </w:r>
        <w:r w:rsidR="002768DF">
          <w:rPr>
            <w:noProof/>
            <w:webHidden/>
          </w:rPr>
          <w:fldChar w:fldCharType="separate"/>
        </w:r>
        <w:r w:rsidR="002768DF">
          <w:rPr>
            <w:noProof/>
            <w:webHidden/>
          </w:rPr>
          <w:t>4</w:t>
        </w:r>
        <w:r w:rsidR="002768DF">
          <w:rPr>
            <w:noProof/>
            <w:webHidden/>
          </w:rPr>
          <w:fldChar w:fldCharType="end"/>
        </w:r>
      </w:hyperlink>
    </w:p>
    <w:p w14:paraId="28F80EF2" w14:textId="18C20B5C" w:rsidR="002768DF" w:rsidRDefault="00B62D6A">
      <w:pPr>
        <w:pStyle w:val="TOC2"/>
        <w:tabs>
          <w:tab w:val="left" w:pos="720"/>
          <w:tab w:val="right" w:leader="dot" w:pos="9019"/>
        </w:tabs>
        <w:rPr>
          <w:rFonts w:asciiTheme="minorHAnsi" w:eastAsiaTheme="minorEastAsia" w:hAnsiTheme="minorHAnsi" w:cstheme="minorBidi"/>
          <w:noProof/>
          <w:sz w:val="24"/>
          <w:szCs w:val="24"/>
        </w:rPr>
      </w:pPr>
      <w:hyperlink w:anchor="_Toc118462202" w:history="1">
        <w:r w:rsidR="002768DF" w:rsidRPr="00A32CBF">
          <w:rPr>
            <w:rStyle w:val="Hyperlink"/>
            <w:rFonts w:cs="Arial"/>
            <w:noProof/>
          </w:rPr>
          <w:t>1.1</w:t>
        </w:r>
        <w:r w:rsidR="002768DF">
          <w:rPr>
            <w:rFonts w:asciiTheme="minorHAnsi" w:eastAsiaTheme="minorEastAsia" w:hAnsiTheme="minorHAnsi" w:cstheme="minorBidi"/>
            <w:noProof/>
            <w:sz w:val="24"/>
            <w:szCs w:val="24"/>
          </w:rPr>
          <w:tab/>
        </w:r>
        <w:r w:rsidR="002768DF" w:rsidRPr="00A32CBF">
          <w:rPr>
            <w:rStyle w:val="Hyperlink"/>
            <w:rFonts w:cs="Arial"/>
            <w:noProof/>
          </w:rPr>
          <w:t>Purpose</w:t>
        </w:r>
        <w:r w:rsidR="002768DF">
          <w:rPr>
            <w:noProof/>
            <w:webHidden/>
          </w:rPr>
          <w:tab/>
        </w:r>
        <w:r w:rsidR="002768DF">
          <w:rPr>
            <w:noProof/>
            <w:webHidden/>
          </w:rPr>
          <w:fldChar w:fldCharType="begin"/>
        </w:r>
        <w:r w:rsidR="002768DF">
          <w:rPr>
            <w:noProof/>
            <w:webHidden/>
          </w:rPr>
          <w:instrText xml:space="preserve"> PAGEREF _Toc118462202 \h </w:instrText>
        </w:r>
        <w:r w:rsidR="002768DF">
          <w:rPr>
            <w:noProof/>
            <w:webHidden/>
          </w:rPr>
        </w:r>
        <w:r w:rsidR="002768DF">
          <w:rPr>
            <w:noProof/>
            <w:webHidden/>
          </w:rPr>
          <w:fldChar w:fldCharType="separate"/>
        </w:r>
        <w:r w:rsidR="002768DF">
          <w:rPr>
            <w:noProof/>
            <w:webHidden/>
          </w:rPr>
          <w:t>4</w:t>
        </w:r>
        <w:r w:rsidR="002768DF">
          <w:rPr>
            <w:noProof/>
            <w:webHidden/>
          </w:rPr>
          <w:fldChar w:fldCharType="end"/>
        </w:r>
      </w:hyperlink>
    </w:p>
    <w:p w14:paraId="4F622870" w14:textId="59050ECB" w:rsidR="002768DF" w:rsidRDefault="00B62D6A">
      <w:pPr>
        <w:pStyle w:val="TOC2"/>
        <w:tabs>
          <w:tab w:val="left" w:pos="720"/>
          <w:tab w:val="right" w:leader="dot" w:pos="9019"/>
        </w:tabs>
        <w:rPr>
          <w:rFonts w:asciiTheme="minorHAnsi" w:eastAsiaTheme="minorEastAsia" w:hAnsiTheme="minorHAnsi" w:cstheme="minorBidi"/>
          <w:noProof/>
          <w:sz w:val="24"/>
          <w:szCs w:val="24"/>
        </w:rPr>
      </w:pPr>
      <w:hyperlink w:anchor="_Toc118462203" w:history="1">
        <w:r w:rsidR="002768DF" w:rsidRPr="00A32CBF">
          <w:rPr>
            <w:rStyle w:val="Hyperlink"/>
            <w:rFonts w:cs="Arial"/>
            <w:noProof/>
          </w:rPr>
          <w:t>1.2</w:t>
        </w:r>
        <w:r w:rsidR="002768DF">
          <w:rPr>
            <w:rFonts w:asciiTheme="minorHAnsi" w:eastAsiaTheme="minorEastAsia" w:hAnsiTheme="minorHAnsi" w:cstheme="minorBidi"/>
            <w:noProof/>
            <w:sz w:val="24"/>
            <w:szCs w:val="24"/>
          </w:rPr>
          <w:tab/>
        </w:r>
        <w:r w:rsidR="002768DF" w:rsidRPr="00A32CBF">
          <w:rPr>
            <w:rStyle w:val="Hyperlink"/>
            <w:rFonts w:cs="Arial"/>
            <w:noProof/>
          </w:rPr>
          <w:t>Application Scope</w:t>
        </w:r>
        <w:r w:rsidR="002768DF">
          <w:rPr>
            <w:noProof/>
            <w:webHidden/>
          </w:rPr>
          <w:tab/>
        </w:r>
        <w:r w:rsidR="002768DF">
          <w:rPr>
            <w:noProof/>
            <w:webHidden/>
          </w:rPr>
          <w:fldChar w:fldCharType="begin"/>
        </w:r>
        <w:r w:rsidR="002768DF">
          <w:rPr>
            <w:noProof/>
            <w:webHidden/>
          </w:rPr>
          <w:instrText xml:space="preserve"> PAGEREF _Toc118462203 \h </w:instrText>
        </w:r>
        <w:r w:rsidR="002768DF">
          <w:rPr>
            <w:noProof/>
            <w:webHidden/>
          </w:rPr>
        </w:r>
        <w:r w:rsidR="002768DF">
          <w:rPr>
            <w:noProof/>
            <w:webHidden/>
          </w:rPr>
          <w:fldChar w:fldCharType="separate"/>
        </w:r>
        <w:r w:rsidR="002768DF">
          <w:rPr>
            <w:noProof/>
            <w:webHidden/>
          </w:rPr>
          <w:t>4</w:t>
        </w:r>
        <w:r w:rsidR="002768DF">
          <w:rPr>
            <w:noProof/>
            <w:webHidden/>
          </w:rPr>
          <w:fldChar w:fldCharType="end"/>
        </w:r>
      </w:hyperlink>
    </w:p>
    <w:p w14:paraId="03B63851" w14:textId="12E887DA" w:rsidR="002768DF" w:rsidRDefault="00B62D6A">
      <w:pPr>
        <w:pStyle w:val="TOC2"/>
        <w:tabs>
          <w:tab w:val="left" w:pos="720"/>
          <w:tab w:val="right" w:leader="dot" w:pos="9019"/>
        </w:tabs>
        <w:rPr>
          <w:rFonts w:asciiTheme="minorHAnsi" w:eastAsiaTheme="minorEastAsia" w:hAnsiTheme="minorHAnsi" w:cstheme="minorBidi"/>
          <w:noProof/>
          <w:sz w:val="24"/>
          <w:szCs w:val="24"/>
        </w:rPr>
      </w:pPr>
      <w:hyperlink w:anchor="_Toc118462204" w:history="1">
        <w:r w:rsidR="002768DF" w:rsidRPr="00A32CBF">
          <w:rPr>
            <w:rStyle w:val="Hyperlink"/>
            <w:rFonts w:cs="Arial"/>
            <w:noProof/>
          </w:rPr>
          <w:t>1.3</w:t>
        </w:r>
        <w:r w:rsidR="002768DF">
          <w:rPr>
            <w:rFonts w:asciiTheme="minorHAnsi" w:eastAsiaTheme="minorEastAsia" w:hAnsiTheme="minorHAnsi" w:cstheme="minorBidi"/>
            <w:noProof/>
            <w:sz w:val="24"/>
            <w:szCs w:val="24"/>
          </w:rPr>
          <w:tab/>
        </w:r>
        <w:r w:rsidR="002768DF" w:rsidRPr="00A32CBF">
          <w:rPr>
            <w:rStyle w:val="Hyperlink"/>
            <w:rFonts w:cs="Arial"/>
            <w:noProof/>
          </w:rPr>
          <w:t>Responsibility</w:t>
        </w:r>
        <w:r w:rsidR="002768DF">
          <w:rPr>
            <w:noProof/>
            <w:webHidden/>
          </w:rPr>
          <w:tab/>
        </w:r>
        <w:r w:rsidR="002768DF">
          <w:rPr>
            <w:noProof/>
            <w:webHidden/>
          </w:rPr>
          <w:fldChar w:fldCharType="begin"/>
        </w:r>
        <w:r w:rsidR="002768DF">
          <w:rPr>
            <w:noProof/>
            <w:webHidden/>
          </w:rPr>
          <w:instrText xml:space="preserve"> PAGEREF _Toc118462204 \h </w:instrText>
        </w:r>
        <w:r w:rsidR="002768DF">
          <w:rPr>
            <w:noProof/>
            <w:webHidden/>
          </w:rPr>
        </w:r>
        <w:r w:rsidR="002768DF">
          <w:rPr>
            <w:noProof/>
            <w:webHidden/>
          </w:rPr>
          <w:fldChar w:fldCharType="separate"/>
        </w:r>
        <w:r w:rsidR="002768DF">
          <w:rPr>
            <w:noProof/>
            <w:webHidden/>
          </w:rPr>
          <w:t>5</w:t>
        </w:r>
        <w:r w:rsidR="002768DF">
          <w:rPr>
            <w:noProof/>
            <w:webHidden/>
          </w:rPr>
          <w:fldChar w:fldCharType="end"/>
        </w:r>
      </w:hyperlink>
    </w:p>
    <w:p w14:paraId="009B36EC" w14:textId="284ED618" w:rsidR="002768DF" w:rsidRDefault="00B62D6A">
      <w:pPr>
        <w:pStyle w:val="TOC1"/>
        <w:rPr>
          <w:rFonts w:asciiTheme="minorHAnsi" w:eastAsiaTheme="minorEastAsia" w:hAnsiTheme="minorHAnsi" w:cstheme="minorBidi"/>
          <w:noProof/>
          <w:sz w:val="24"/>
          <w:szCs w:val="24"/>
        </w:rPr>
      </w:pPr>
      <w:hyperlink w:anchor="_Toc118462205" w:history="1">
        <w:r w:rsidR="002768DF" w:rsidRPr="00A32CBF">
          <w:rPr>
            <w:rStyle w:val="Hyperlink"/>
            <w:rFonts w:cs="Arial"/>
            <w:noProof/>
          </w:rPr>
          <w:t>2</w:t>
        </w:r>
        <w:r w:rsidR="002768DF">
          <w:rPr>
            <w:rFonts w:asciiTheme="minorHAnsi" w:eastAsiaTheme="minorEastAsia" w:hAnsiTheme="minorHAnsi" w:cstheme="minorBidi"/>
            <w:noProof/>
            <w:sz w:val="24"/>
            <w:szCs w:val="24"/>
          </w:rPr>
          <w:tab/>
        </w:r>
        <w:r w:rsidR="002768DF" w:rsidRPr="00A32CBF">
          <w:rPr>
            <w:rStyle w:val="Hyperlink"/>
            <w:rFonts w:cs="Arial"/>
            <w:noProof/>
          </w:rPr>
          <w:t>Job Description Board Member Responsible for Data Protection</w:t>
        </w:r>
        <w:r w:rsidR="002768DF">
          <w:rPr>
            <w:noProof/>
            <w:webHidden/>
          </w:rPr>
          <w:tab/>
        </w:r>
        <w:r w:rsidR="002768DF">
          <w:rPr>
            <w:noProof/>
            <w:webHidden/>
          </w:rPr>
          <w:fldChar w:fldCharType="begin"/>
        </w:r>
        <w:r w:rsidR="002768DF">
          <w:rPr>
            <w:noProof/>
            <w:webHidden/>
          </w:rPr>
          <w:instrText xml:space="preserve"> PAGEREF _Toc118462205 \h </w:instrText>
        </w:r>
        <w:r w:rsidR="002768DF">
          <w:rPr>
            <w:noProof/>
            <w:webHidden/>
          </w:rPr>
        </w:r>
        <w:r w:rsidR="002768DF">
          <w:rPr>
            <w:noProof/>
            <w:webHidden/>
          </w:rPr>
          <w:fldChar w:fldCharType="separate"/>
        </w:r>
        <w:r w:rsidR="002768DF">
          <w:rPr>
            <w:noProof/>
            <w:webHidden/>
          </w:rPr>
          <w:t>6</w:t>
        </w:r>
        <w:r w:rsidR="002768DF">
          <w:rPr>
            <w:noProof/>
            <w:webHidden/>
          </w:rPr>
          <w:fldChar w:fldCharType="end"/>
        </w:r>
      </w:hyperlink>
    </w:p>
    <w:p w14:paraId="5D96B7C0" w14:textId="03D8C02A" w:rsidR="002768DF" w:rsidRDefault="00B62D6A">
      <w:pPr>
        <w:pStyle w:val="TOC2"/>
        <w:tabs>
          <w:tab w:val="left" w:pos="720"/>
          <w:tab w:val="right" w:leader="dot" w:pos="9019"/>
        </w:tabs>
        <w:rPr>
          <w:rFonts w:asciiTheme="minorHAnsi" w:eastAsiaTheme="minorEastAsia" w:hAnsiTheme="minorHAnsi" w:cstheme="minorBidi"/>
          <w:noProof/>
          <w:sz w:val="24"/>
          <w:szCs w:val="24"/>
        </w:rPr>
      </w:pPr>
      <w:hyperlink w:anchor="_Toc118462206" w:history="1">
        <w:r w:rsidR="002768DF" w:rsidRPr="00A32CBF">
          <w:rPr>
            <w:rStyle w:val="Hyperlink"/>
            <w:rFonts w:cs="Arial"/>
            <w:noProof/>
          </w:rPr>
          <w:t>2.1</w:t>
        </w:r>
        <w:r w:rsidR="002768DF">
          <w:rPr>
            <w:rFonts w:asciiTheme="minorHAnsi" w:eastAsiaTheme="minorEastAsia" w:hAnsiTheme="minorHAnsi" w:cstheme="minorBidi"/>
            <w:noProof/>
            <w:sz w:val="24"/>
            <w:szCs w:val="24"/>
          </w:rPr>
          <w:tab/>
        </w:r>
        <w:r w:rsidR="002768DF" w:rsidRPr="00A32CBF">
          <w:rPr>
            <w:rStyle w:val="Hyperlink"/>
            <w:rFonts w:cs="Arial"/>
            <w:noProof/>
          </w:rPr>
          <w:t xml:space="preserve"> Board Member Responsible for Data Protection</w:t>
        </w:r>
        <w:r w:rsidR="002768DF">
          <w:rPr>
            <w:noProof/>
            <w:webHidden/>
          </w:rPr>
          <w:tab/>
        </w:r>
        <w:r w:rsidR="002768DF">
          <w:rPr>
            <w:noProof/>
            <w:webHidden/>
          </w:rPr>
          <w:fldChar w:fldCharType="begin"/>
        </w:r>
        <w:r w:rsidR="002768DF">
          <w:rPr>
            <w:noProof/>
            <w:webHidden/>
          </w:rPr>
          <w:instrText xml:space="preserve"> PAGEREF _Toc118462206 \h </w:instrText>
        </w:r>
        <w:r w:rsidR="002768DF">
          <w:rPr>
            <w:noProof/>
            <w:webHidden/>
          </w:rPr>
        </w:r>
        <w:r w:rsidR="002768DF">
          <w:rPr>
            <w:noProof/>
            <w:webHidden/>
          </w:rPr>
          <w:fldChar w:fldCharType="separate"/>
        </w:r>
        <w:r w:rsidR="002768DF">
          <w:rPr>
            <w:noProof/>
            <w:webHidden/>
          </w:rPr>
          <w:t>6</w:t>
        </w:r>
        <w:r w:rsidR="002768DF">
          <w:rPr>
            <w:noProof/>
            <w:webHidden/>
          </w:rPr>
          <w:fldChar w:fldCharType="end"/>
        </w:r>
      </w:hyperlink>
    </w:p>
    <w:p w14:paraId="7A142D8B" w14:textId="446A28E1" w:rsidR="002768DF" w:rsidRDefault="00B62D6A">
      <w:pPr>
        <w:pStyle w:val="TOC2"/>
        <w:tabs>
          <w:tab w:val="left" w:pos="720"/>
          <w:tab w:val="right" w:leader="dot" w:pos="9019"/>
        </w:tabs>
        <w:rPr>
          <w:rFonts w:asciiTheme="minorHAnsi" w:eastAsiaTheme="minorEastAsia" w:hAnsiTheme="minorHAnsi" w:cstheme="minorBidi"/>
          <w:noProof/>
          <w:sz w:val="24"/>
          <w:szCs w:val="24"/>
        </w:rPr>
      </w:pPr>
      <w:hyperlink w:anchor="_Toc118462207" w:history="1">
        <w:r w:rsidR="002768DF" w:rsidRPr="00A32CBF">
          <w:rPr>
            <w:rStyle w:val="Hyperlink"/>
            <w:rFonts w:cs="Arial"/>
            <w:noProof/>
          </w:rPr>
          <w:t>2.2</w:t>
        </w:r>
        <w:r w:rsidR="002768DF">
          <w:rPr>
            <w:rFonts w:asciiTheme="minorHAnsi" w:eastAsiaTheme="minorEastAsia" w:hAnsiTheme="minorHAnsi" w:cstheme="minorBidi"/>
            <w:noProof/>
            <w:sz w:val="24"/>
            <w:szCs w:val="24"/>
          </w:rPr>
          <w:tab/>
        </w:r>
        <w:r w:rsidR="002768DF" w:rsidRPr="00A32CBF">
          <w:rPr>
            <w:rStyle w:val="Hyperlink"/>
            <w:rFonts w:cs="Arial"/>
            <w:noProof/>
          </w:rPr>
          <w:t xml:space="preserve"> Data Protection Representatives (FSU, OB, Delivery Center)/Coordinators</w:t>
        </w:r>
        <w:r w:rsidR="002768DF">
          <w:rPr>
            <w:noProof/>
            <w:webHidden/>
          </w:rPr>
          <w:tab/>
        </w:r>
        <w:r w:rsidR="002768DF">
          <w:rPr>
            <w:noProof/>
            <w:webHidden/>
          </w:rPr>
          <w:fldChar w:fldCharType="begin"/>
        </w:r>
        <w:r w:rsidR="002768DF">
          <w:rPr>
            <w:noProof/>
            <w:webHidden/>
          </w:rPr>
          <w:instrText xml:space="preserve"> PAGEREF _Toc118462207 \h </w:instrText>
        </w:r>
        <w:r w:rsidR="002768DF">
          <w:rPr>
            <w:noProof/>
            <w:webHidden/>
          </w:rPr>
        </w:r>
        <w:r w:rsidR="002768DF">
          <w:rPr>
            <w:noProof/>
            <w:webHidden/>
          </w:rPr>
          <w:fldChar w:fldCharType="separate"/>
        </w:r>
        <w:r w:rsidR="002768DF">
          <w:rPr>
            <w:noProof/>
            <w:webHidden/>
          </w:rPr>
          <w:t>7</w:t>
        </w:r>
        <w:r w:rsidR="002768DF">
          <w:rPr>
            <w:noProof/>
            <w:webHidden/>
          </w:rPr>
          <w:fldChar w:fldCharType="end"/>
        </w:r>
      </w:hyperlink>
    </w:p>
    <w:p w14:paraId="73242F45" w14:textId="0E489425" w:rsidR="002768DF" w:rsidRDefault="00B62D6A">
      <w:pPr>
        <w:pStyle w:val="TOC1"/>
        <w:rPr>
          <w:rFonts w:asciiTheme="minorHAnsi" w:eastAsiaTheme="minorEastAsia" w:hAnsiTheme="minorHAnsi" w:cstheme="minorBidi"/>
          <w:noProof/>
          <w:sz w:val="24"/>
          <w:szCs w:val="24"/>
        </w:rPr>
      </w:pPr>
      <w:hyperlink w:anchor="_Toc118462208" w:history="1">
        <w:r w:rsidR="002768DF" w:rsidRPr="00A32CBF">
          <w:rPr>
            <w:rStyle w:val="Hyperlink"/>
            <w:rFonts w:cs="Arial"/>
            <w:noProof/>
          </w:rPr>
          <w:t>3</w:t>
        </w:r>
        <w:r w:rsidR="002768DF">
          <w:rPr>
            <w:rFonts w:asciiTheme="minorHAnsi" w:eastAsiaTheme="minorEastAsia" w:hAnsiTheme="minorHAnsi" w:cstheme="minorBidi"/>
            <w:noProof/>
            <w:sz w:val="24"/>
            <w:szCs w:val="24"/>
          </w:rPr>
          <w:tab/>
        </w:r>
        <w:r w:rsidR="002768DF" w:rsidRPr="00A32CBF">
          <w:rPr>
            <w:rStyle w:val="Hyperlink"/>
            <w:rFonts w:cs="Arial"/>
            <w:noProof/>
          </w:rPr>
          <w:t>Document Owner and Approval</w:t>
        </w:r>
        <w:r w:rsidR="002768DF">
          <w:rPr>
            <w:noProof/>
            <w:webHidden/>
          </w:rPr>
          <w:tab/>
        </w:r>
        <w:r w:rsidR="002768DF">
          <w:rPr>
            <w:noProof/>
            <w:webHidden/>
          </w:rPr>
          <w:fldChar w:fldCharType="begin"/>
        </w:r>
        <w:r w:rsidR="002768DF">
          <w:rPr>
            <w:noProof/>
            <w:webHidden/>
          </w:rPr>
          <w:instrText xml:space="preserve"> PAGEREF _Toc118462208 \h </w:instrText>
        </w:r>
        <w:r w:rsidR="002768DF">
          <w:rPr>
            <w:noProof/>
            <w:webHidden/>
          </w:rPr>
        </w:r>
        <w:r w:rsidR="002768DF">
          <w:rPr>
            <w:noProof/>
            <w:webHidden/>
          </w:rPr>
          <w:fldChar w:fldCharType="separate"/>
        </w:r>
        <w:r w:rsidR="002768DF">
          <w:rPr>
            <w:noProof/>
            <w:webHidden/>
          </w:rPr>
          <w:t>8</w:t>
        </w:r>
        <w:r w:rsidR="002768DF">
          <w:rPr>
            <w:noProof/>
            <w:webHidden/>
          </w:rPr>
          <w:fldChar w:fldCharType="end"/>
        </w:r>
      </w:hyperlink>
    </w:p>
    <w:p w14:paraId="4E365AFC" w14:textId="091CD05F" w:rsidR="002768DF" w:rsidRDefault="00B62D6A">
      <w:pPr>
        <w:pStyle w:val="TOC1"/>
        <w:rPr>
          <w:rFonts w:asciiTheme="minorHAnsi" w:eastAsiaTheme="minorEastAsia" w:hAnsiTheme="minorHAnsi" w:cstheme="minorBidi"/>
          <w:noProof/>
          <w:sz w:val="24"/>
          <w:szCs w:val="24"/>
        </w:rPr>
      </w:pPr>
      <w:hyperlink w:anchor="_Toc118462209" w:history="1">
        <w:r w:rsidR="002768DF" w:rsidRPr="00A32CBF">
          <w:rPr>
            <w:rStyle w:val="Hyperlink"/>
            <w:noProof/>
            <w:lang w:eastAsia="zh-TW"/>
          </w:rPr>
          <w:t>4.     APPENDIXES</w:t>
        </w:r>
        <w:r w:rsidR="002768DF">
          <w:rPr>
            <w:noProof/>
            <w:webHidden/>
          </w:rPr>
          <w:tab/>
        </w:r>
        <w:r w:rsidR="002768DF">
          <w:rPr>
            <w:noProof/>
            <w:webHidden/>
          </w:rPr>
          <w:fldChar w:fldCharType="begin"/>
        </w:r>
        <w:r w:rsidR="002768DF">
          <w:rPr>
            <w:noProof/>
            <w:webHidden/>
          </w:rPr>
          <w:instrText xml:space="preserve"> PAGEREF _Toc118462209 \h </w:instrText>
        </w:r>
        <w:r w:rsidR="002768DF">
          <w:rPr>
            <w:noProof/>
            <w:webHidden/>
          </w:rPr>
        </w:r>
        <w:r w:rsidR="002768DF">
          <w:rPr>
            <w:noProof/>
            <w:webHidden/>
          </w:rPr>
          <w:fldChar w:fldCharType="separate"/>
        </w:r>
        <w:r w:rsidR="002768DF">
          <w:rPr>
            <w:noProof/>
            <w:webHidden/>
          </w:rPr>
          <w:t>9</w:t>
        </w:r>
        <w:r w:rsidR="002768DF">
          <w:rPr>
            <w:noProof/>
            <w:webHidden/>
          </w:rPr>
          <w:fldChar w:fldCharType="end"/>
        </w:r>
      </w:hyperlink>
    </w:p>
    <w:p w14:paraId="164D4533" w14:textId="7BE51D99" w:rsidR="002768DF" w:rsidRDefault="00B62D6A">
      <w:pPr>
        <w:pStyle w:val="TOC2"/>
        <w:tabs>
          <w:tab w:val="right" w:leader="dot" w:pos="9019"/>
        </w:tabs>
        <w:rPr>
          <w:rFonts w:asciiTheme="minorHAnsi" w:eastAsiaTheme="minorEastAsia" w:hAnsiTheme="minorHAnsi" w:cstheme="minorBidi"/>
          <w:noProof/>
          <w:sz w:val="24"/>
          <w:szCs w:val="24"/>
        </w:rPr>
      </w:pPr>
      <w:hyperlink w:anchor="_Toc118462210" w:history="1">
        <w:r w:rsidR="002768DF" w:rsidRPr="00A32CBF">
          <w:rPr>
            <w:rStyle w:val="Hyperlink"/>
            <w:rFonts w:cs="Arial"/>
            <w:noProof/>
          </w:rPr>
          <w:t>4.1    Definition</w:t>
        </w:r>
        <w:r w:rsidR="002768DF">
          <w:rPr>
            <w:noProof/>
            <w:webHidden/>
          </w:rPr>
          <w:tab/>
        </w:r>
        <w:r w:rsidR="002768DF">
          <w:rPr>
            <w:noProof/>
            <w:webHidden/>
          </w:rPr>
          <w:fldChar w:fldCharType="begin"/>
        </w:r>
        <w:r w:rsidR="002768DF">
          <w:rPr>
            <w:noProof/>
            <w:webHidden/>
          </w:rPr>
          <w:instrText xml:space="preserve"> PAGEREF _Toc118462210 \h </w:instrText>
        </w:r>
        <w:r w:rsidR="002768DF">
          <w:rPr>
            <w:noProof/>
            <w:webHidden/>
          </w:rPr>
        </w:r>
        <w:r w:rsidR="002768DF">
          <w:rPr>
            <w:noProof/>
            <w:webHidden/>
          </w:rPr>
          <w:fldChar w:fldCharType="separate"/>
        </w:r>
        <w:r w:rsidR="002768DF">
          <w:rPr>
            <w:noProof/>
            <w:webHidden/>
          </w:rPr>
          <w:t>9</w:t>
        </w:r>
        <w:r w:rsidR="002768DF">
          <w:rPr>
            <w:noProof/>
            <w:webHidden/>
          </w:rPr>
          <w:fldChar w:fldCharType="end"/>
        </w:r>
      </w:hyperlink>
    </w:p>
    <w:p w14:paraId="2D646C3A" w14:textId="053B2DE3" w:rsidR="002768DF" w:rsidRDefault="00B62D6A">
      <w:pPr>
        <w:pStyle w:val="TOC2"/>
        <w:tabs>
          <w:tab w:val="right" w:leader="dot" w:pos="9019"/>
        </w:tabs>
        <w:rPr>
          <w:rFonts w:asciiTheme="minorHAnsi" w:eastAsiaTheme="minorEastAsia" w:hAnsiTheme="minorHAnsi" w:cstheme="minorBidi"/>
          <w:noProof/>
          <w:sz w:val="24"/>
          <w:szCs w:val="24"/>
        </w:rPr>
      </w:pPr>
      <w:hyperlink w:anchor="_Toc118462211" w:history="1">
        <w:r w:rsidR="005C78AB">
          <w:rPr>
            <w:rStyle w:val="Hyperlink"/>
            <w:rFonts w:cs="Arial"/>
            <w:noProof/>
          </w:rPr>
          <w:t xml:space="preserve">4.2    </w:t>
        </w:r>
        <w:r w:rsidR="002768DF" w:rsidRPr="00A32CBF">
          <w:rPr>
            <w:rStyle w:val="Hyperlink"/>
            <w:rFonts w:cs="Arial"/>
            <w:noProof/>
          </w:rPr>
          <w:t>Related Documents</w:t>
        </w:r>
        <w:r w:rsidR="002768DF">
          <w:rPr>
            <w:noProof/>
            <w:webHidden/>
          </w:rPr>
          <w:tab/>
        </w:r>
        <w:r w:rsidR="002768DF">
          <w:rPr>
            <w:noProof/>
            <w:webHidden/>
          </w:rPr>
          <w:fldChar w:fldCharType="begin"/>
        </w:r>
        <w:r w:rsidR="002768DF">
          <w:rPr>
            <w:noProof/>
            <w:webHidden/>
          </w:rPr>
          <w:instrText xml:space="preserve"> PAGEREF _Toc118462211 \h </w:instrText>
        </w:r>
        <w:r w:rsidR="002768DF">
          <w:rPr>
            <w:noProof/>
            <w:webHidden/>
          </w:rPr>
        </w:r>
        <w:r w:rsidR="002768DF">
          <w:rPr>
            <w:noProof/>
            <w:webHidden/>
          </w:rPr>
          <w:fldChar w:fldCharType="separate"/>
        </w:r>
        <w:r w:rsidR="002768DF">
          <w:rPr>
            <w:noProof/>
            <w:webHidden/>
          </w:rPr>
          <w:t>10</w:t>
        </w:r>
        <w:r w:rsidR="002768DF">
          <w:rPr>
            <w:noProof/>
            <w:webHidden/>
          </w:rPr>
          <w:fldChar w:fldCharType="end"/>
        </w:r>
      </w:hyperlink>
    </w:p>
    <w:p w14:paraId="0098B77A" w14:textId="768167D0" w:rsidR="002768DF" w:rsidRDefault="00B62D6A">
      <w:pPr>
        <w:pStyle w:val="TOC2"/>
        <w:tabs>
          <w:tab w:val="left" w:pos="720"/>
          <w:tab w:val="right" w:leader="dot" w:pos="9019"/>
        </w:tabs>
        <w:rPr>
          <w:rFonts w:asciiTheme="minorHAnsi" w:eastAsiaTheme="minorEastAsia" w:hAnsiTheme="minorHAnsi" w:cstheme="minorBidi"/>
          <w:noProof/>
          <w:sz w:val="24"/>
          <w:szCs w:val="24"/>
        </w:rPr>
      </w:pPr>
      <w:hyperlink w:anchor="_Toc118462212" w:history="1">
        <w:r w:rsidR="002768DF" w:rsidRPr="00A32CBF">
          <w:rPr>
            <w:rStyle w:val="Hyperlink"/>
            <w:noProof/>
          </w:rPr>
          <w:t>4.3</w:t>
        </w:r>
        <w:r w:rsidR="002768DF">
          <w:rPr>
            <w:rFonts w:asciiTheme="minorHAnsi" w:eastAsiaTheme="minorEastAsia" w:hAnsiTheme="minorHAnsi" w:cstheme="minorBidi"/>
            <w:noProof/>
            <w:sz w:val="24"/>
            <w:szCs w:val="24"/>
          </w:rPr>
          <w:tab/>
        </w:r>
        <w:r w:rsidR="002768DF" w:rsidRPr="00A32CBF">
          <w:rPr>
            <w:rStyle w:val="Hyperlink"/>
            <w:noProof/>
          </w:rPr>
          <w:t>Data Protection Law, Vietnam, Overview</w:t>
        </w:r>
        <w:r w:rsidR="002768DF">
          <w:rPr>
            <w:noProof/>
            <w:webHidden/>
          </w:rPr>
          <w:tab/>
        </w:r>
        <w:r w:rsidR="002768DF">
          <w:rPr>
            <w:noProof/>
            <w:webHidden/>
          </w:rPr>
          <w:fldChar w:fldCharType="begin"/>
        </w:r>
        <w:r w:rsidR="002768DF">
          <w:rPr>
            <w:noProof/>
            <w:webHidden/>
          </w:rPr>
          <w:instrText xml:space="preserve"> PAGEREF _Toc118462212 \h </w:instrText>
        </w:r>
        <w:r w:rsidR="002768DF">
          <w:rPr>
            <w:noProof/>
            <w:webHidden/>
          </w:rPr>
        </w:r>
        <w:r w:rsidR="002768DF">
          <w:rPr>
            <w:noProof/>
            <w:webHidden/>
          </w:rPr>
          <w:fldChar w:fldCharType="separate"/>
        </w:r>
        <w:r w:rsidR="002768DF">
          <w:rPr>
            <w:noProof/>
            <w:webHidden/>
          </w:rPr>
          <w:t>12</w:t>
        </w:r>
        <w:r w:rsidR="002768DF">
          <w:rPr>
            <w:noProof/>
            <w:webHidden/>
          </w:rPr>
          <w:fldChar w:fldCharType="end"/>
        </w:r>
      </w:hyperlink>
    </w:p>
    <w:p w14:paraId="58931B7A" w14:textId="7DC384F4" w:rsidR="002F03E4" w:rsidRPr="002C0ED4" w:rsidRDefault="003C72EB" w:rsidP="007348CC">
      <w:pPr>
        <w:tabs>
          <w:tab w:val="right" w:leader="dot" w:pos="8931"/>
          <w:tab w:val="right" w:leader="dot" w:pos="9000"/>
        </w:tabs>
        <w:rPr>
          <w:rFonts w:cs="Arial"/>
          <w:sz w:val="24"/>
        </w:rPr>
      </w:pPr>
      <w:r>
        <w:rPr>
          <w:rFonts w:cs="Arial"/>
        </w:rPr>
        <w:fldChar w:fldCharType="end"/>
      </w:r>
    </w:p>
    <w:p w14:paraId="1E920B9D" w14:textId="77777777" w:rsidR="008629FB" w:rsidRPr="002C0ED4" w:rsidRDefault="008629FB" w:rsidP="00402C00">
      <w:pPr>
        <w:pStyle w:val="NormalH"/>
      </w:pPr>
      <w:r w:rsidRPr="002C0ED4">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1134"/>
        <w:gridCol w:w="2835"/>
        <w:gridCol w:w="1134"/>
        <w:gridCol w:w="992"/>
        <w:gridCol w:w="992"/>
      </w:tblGrid>
      <w:tr w:rsidR="0093621D" w:rsidRPr="002C0ED4" w14:paraId="351D3E03" w14:textId="77777777" w:rsidTr="00751B72">
        <w:trPr>
          <w:trHeight w:val="620"/>
          <w:tblHeader/>
        </w:trPr>
        <w:tc>
          <w:tcPr>
            <w:tcW w:w="450" w:type="dxa"/>
            <w:shd w:val="clear" w:color="auto" w:fill="D9D9D9"/>
            <w:vAlign w:val="center"/>
          </w:tcPr>
          <w:p w14:paraId="63D435EA" w14:textId="77777777" w:rsidR="0093621D" w:rsidRPr="002C0ED4" w:rsidRDefault="0093621D" w:rsidP="00751B72">
            <w:pPr>
              <w:pStyle w:val="Bangheader"/>
            </w:pPr>
            <w:r w:rsidRPr="002C0ED4">
              <w:t>No</w:t>
            </w:r>
          </w:p>
        </w:tc>
        <w:tc>
          <w:tcPr>
            <w:tcW w:w="1166" w:type="dxa"/>
            <w:shd w:val="clear" w:color="auto" w:fill="D9D9D9"/>
            <w:vAlign w:val="center"/>
          </w:tcPr>
          <w:p w14:paraId="5F252E78" w14:textId="77777777" w:rsidR="0093621D" w:rsidRPr="002C0ED4" w:rsidRDefault="0093621D" w:rsidP="00751B72">
            <w:pPr>
              <w:pStyle w:val="Bangheader"/>
            </w:pPr>
            <w:r w:rsidRPr="002C0ED4">
              <w:t>Effective Date</w:t>
            </w:r>
          </w:p>
        </w:tc>
        <w:tc>
          <w:tcPr>
            <w:tcW w:w="851" w:type="dxa"/>
            <w:shd w:val="clear" w:color="auto" w:fill="D9D9D9"/>
            <w:vAlign w:val="center"/>
          </w:tcPr>
          <w:p w14:paraId="307490FB" w14:textId="77777777" w:rsidR="0093621D" w:rsidRPr="002C0ED4" w:rsidRDefault="0093621D" w:rsidP="00751B72">
            <w:pPr>
              <w:pStyle w:val="Bangheader"/>
            </w:pPr>
            <w:r w:rsidRPr="002C0ED4">
              <w:t>Version</w:t>
            </w:r>
          </w:p>
        </w:tc>
        <w:tc>
          <w:tcPr>
            <w:tcW w:w="1134" w:type="dxa"/>
            <w:shd w:val="clear" w:color="auto" w:fill="D9D9D9"/>
            <w:vAlign w:val="center"/>
          </w:tcPr>
          <w:p w14:paraId="02EAA96E" w14:textId="3AF1E4D7" w:rsidR="0093621D" w:rsidRPr="002C0ED4" w:rsidRDefault="00E03C65" w:rsidP="00751B72">
            <w:pPr>
              <w:pStyle w:val="Bangheader"/>
            </w:pPr>
            <w:r>
              <w:t>Reason</w:t>
            </w:r>
          </w:p>
        </w:tc>
        <w:tc>
          <w:tcPr>
            <w:tcW w:w="2835" w:type="dxa"/>
            <w:shd w:val="clear" w:color="auto" w:fill="D9D9D9"/>
            <w:vAlign w:val="center"/>
          </w:tcPr>
          <w:p w14:paraId="7F7295EF" w14:textId="21AD053D" w:rsidR="0093621D" w:rsidRPr="002C0ED4" w:rsidRDefault="00E03C65" w:rsidP="00751B72">
            <w:pPr>
              <w:pStyle w:val="Bangheader"/>
            </w:pPr>
            <w:r w:rsidRPr="002C0ED4">
              <w:t>Change Description</w:t>
            </w:r>
          </w:p>
        </w:tc>
        <w:tc>
          <w:tcPr>
            <w:tcW w:w="1134" w:type="dxa"/>
            <w:shd w:val="clear" w:color="auto" w:fill="D9D9D9"/>
            <w:vAlign w:val="center"/>
          </w:tcPr>
          <w:p w14:paraId="69EEDBC6" w14:textId="77777777" w:rsidR="0093621D" w:rsidRPr="002C0ED4" w:rsidRDefault="0093621D" w:rsidP="00751B72">
            <w:pPr>
              <w:pStyle w:val="Bangheader"/>
            </w:pPr>
            <w:r w:rsidRPr="002C0ED4">
              <w:t>Reviewer</w:t>
            </w:r>
          </w:p>
        </w:tc>
        <w:tc>
          <w:tcPr>
            <w:tcW w:w="992" w:type="dxa"/>
            <w:shd w:val="clear" w:color="auto" w:fill="D9D9D9"/>
            <w:vAlign w:val="center"/>
          </w:tcPr>
          <w:p w14:paraId="1A2A2E5D" w14:textId="17DE7D5D" w:rsidR="0093621D" w:rsidRPr="002C0ED4" w:rsidRDefault="0093621D" w:rsidP="00751B72">
            <w:pPr>
              <w:pStyle w:val="Bangheader"/>
            </w:pPr>
            <w:r>
              <w:t>Final Reviewer</w:t>
            </w:r>
          </w:p>
        </w:tc>
        <w:tc>
          <w:tcPr>
            <w:tcW w:w="992" w:type="dxa"/>
            <w:shd w:val="clear" w:color="auto" w:fill="D9D9D9"/>
            <w:vAlign w:val="center"/>
          </w:tcPr>
          <w:p w14:paraId="0B7225B5" w14:textId="2F6393CF" w:rsidR="0093621D" w:rsidRPr="002C0ED4" w:rsidRDefault="0093621D" w:rsidP="00751B72">
            <w:pPr>
              <w:pStyle w:val="Bangheader"/>
            </w:pPr>
            <w:r w:rsidRPr="002C0ED4">
              <w:t>Approver</w:t>
            </w:r>
          </w:p>
        </w:tc>
      </w:tr>
      <w:tr w:rsidR="0093621D" w:rsidRPr="00E03C65" w14:paraId="0509CBAF" w14:textId="77777777" w:rsidTr="00E03C65">
        <w:tc>
          <w:tcPr>
            <w:tcW w:w="450" w:type="dxa"/>
          </w:tcPr>
          <w:p w14:paraId="3DE0C7D7" w14:textId="77777777" w:rsidR="0093621D" w:rsidRPr="00E03C65" w:rsidRDefault="0093621D" w:rsidP="00E03C65">
            <w:pPr>
              <w:spacing w:before="0" w:line="240" w:lineRule="auto"/>
              <w:rPr>
                <w:rFonts w:cs="Arial"/>
                <w:sz w:val="18"/>
                <w:szCs w:val="18"/>
              </w:rPr>
            </w:pPr>
            <w:r w:rsidRPr="00E03C65">
              <w:rPr>
                <w:rFonts w:cs="Arial"/>
                <w:sz w:val="18"/>
                <w:szCs w:val="18"/>
              </w:rPr>
              <w:t>1</w:t>
            </w:r>
          </w:p>
        </w:tc>
        <w:tc>
          <w:tcPr>
            <w:tcW w:w="1166" w:type="dxa"/>
          </w:tcPr>
          <w:p w14:paraId="735F5945" w14:textId="33D5B57B" w:rsidR="0093621D" w:rsidRPr="00E03C65" w:rsidRDefault="006A2ED2" w:rsidP="00E03C65">
            <w:pPr>
              <w:spacing w:before="0" w:line="240" w:lineRule="auto"/>
              <w:rPr>
                <w:rFonts w:cs="Arial"/>
                <w:sz w:val="18"/>
                <w:szCs w:val="18"/>
              </w:rPr>
            </w:pPr>
            <w:r w:rsidRPr="00E03C65">
              <w:rPr>
                <w:rFonts w:cs="Arial"/>
                <w:sz w:val="18"/>
                <w:szCs w:val="18"/>
              </w:rPr>
              <w:t>01</w:t>
            </w:r>
            <w:r w:rsidR="0093621D" w:rsidRPr="00E03C65">
              <w:rPr>
                <w:rFonts w:cs="Arial"/>
                <w:sz w:val="18"/>
                <w:szCs w:val="18"/>
              </w:rPr>
              <w:t>.</w:t>
            </w:r>
            <w:r w:rsidR="00467AF4" w:rsidRPr="00E03C65">
              <w:rPr>
                <w:rFonts w:cs="Arial"/>
                <w:sz w:val="18"/>
                <w:szCs w:val="18"/>
              </w:rPr>
              <w:t>0</w:t>
            </w:r>
            <w:r w:rsidR="001266DB" w:rsidRPr="00E03C65">
              <w:rPr>
                <w:rFonts w:cs="Arial"/>
                <w:sz w:val="18"/>
                <w:szCs w:val="18"/>
              </w:rPr>
              <w:t>7</w:t>
            </w:r>
            <w:r w:rsidR="00E970BF" w:rsidRPr="00E03C65">
              <w:rPr>
                <w:rFonts w:cs="Arial"/>
                <w:sz w:val="18"/>
                <w:szCs w:val="18"/>
              </w:rPr>
              <w:t>.202</w:t>
            </w:r>
            <w:r w:rsidR="00467AF4" w:rsidRPr="00E03C65">
              <w:rPr>
                <w:rFonts w:cs="Arial"/>
                <w:sz w:val="18"/>
                <w:szCs w:val="18"/>
              </w:rPr>
              <w:t>1</w:t>
            </w:r>
          </w:p>
        </w:tc>
        <w:tc>
          <w:tcPr>
            <w:tcW w:w="851" w:type="dxa"/>
          </w:tcPr>
          <w:p w14:paraId="2BF0A7ED" w14:textId="77777777" w:rsidR="0093621D" w:rsidRPr="00E03C65" w:rsidRDefault="0093621D" w:rsidP="00E03C65">
            <w:pPr>
              <w:spacing w:before="0" w:line="240" w:lineRule="auto"/>
              <w:rPr>
                <w:rFonts w:cs="Arial"/>
                <w:sz w:val="18"/>
                <w:szCs w:val="18"/>
              </w:rPr>
            </w:pPr>
            <w:r w:rsidRPr="00E03C65">
              <w:rPr>
                <w:rFonts w:cs="Arial"/>
                <w:sz w:val="18"/>
                <w:szCs w:val="18"/>
              </w:rPr>
              <w:t>1.0</w:t>
            </w:r>
          </w:p>
        </w:tc>
        <w:tc>
          <w:tcPr>
            <w:tcW w:w="1134" w:type="dxa"/>
          </w:tcPr>
          <w:p w14:paraId="4A66EC50" w14:textId="77777777" w:rsidR="0093621D" w:rsidRPr="00E03C65" w:rsidRDefault="0093621D" w:rsidP="00E03C65">
            <w:pPr>
              <w:spacing w:before="0" w:line="240" w:lineRule="auto"/>
              <w:rPr>
                <w:rFonts w:cs="Arial"/>
                <w:sz w:val="18"/>
                <w:szCs w:val="18"/>
              </w:rPr>
            </w:pPr>
            <w:r w:rsidRPr="00E03C65">
              <w:rPr>
                <w:rFonts w:cs="Arial"/>
                <w:sz w:val="18"/>
                <w:szCs w:val="18"/>
              </w:rPr>
              <w:t>Newly issued</w:t>
            </w:r>
          </w:p>
        </w:tc>
        <w:tc>
          <w:tcPr>
            <w:tcW w:w="2835" w:type="dxa"/>
          </w:tcPr>
          <w:p w14:paraId="6984A242" w14:textId="18244B3E" w:rsidR="0093621D" w:rsidRPr="00E03C65" w:rsidRDefault="006A2ED2" w:rsidP="00E03C65">
            <w:pPr>
              <w:spacing w:before="0" w:line="240" w:lineRule="auto"/>
              <w:rPr>
                <w:rFonts w:cs="Arial"/>
                <w:sz w:val="18"/>
                <w:szCs w:val="18"/>
              </w:rPr>
            </w:pPr>
            <w:r w:rsidRPr="00E03C65">
              <w:rPr>
                <w:rFonts w:cs="Arial"/>
                <w:sz w:val="18"/>
                <w:szCs w:val="18"/>
              </w:rPr>
              <w:t>BS 10012:2017 Requirements/GDPR</w:t>
            </w:r>
            <w:r w:rsidR="005824A5" w:rsidRPr="00E03C65">
              <w:rPr>
                <w:rFonts w:cs="Arial"/>
                <w:sz w:val="18"/>
                <w:szCs w:val="18"/>
              </w:rPr>
              <w:t xml:space="preserve"> Clause </w:t>
            </w:r>
            <w:r w:rsidR="000C41E4" w:rsidRPr="00E03C65">
              <w:rPr>
                <w:rFonts w:cs="Arial"/>
                <w:sz w:val="18"/>
                <w:szCs w:val="18"/>
              </w:rPr>
              <w:t>7.2, 8.2.1.1, 8.2.1.3, 8.2.1.4, 8.2.5</w:t>
            </w:r>
          </w:p>
        </w:tc>
        <w:tc>
          <w:tcPr>
            <w:tcW w:w="1134" w:type="dxa"/>
          </w:tcPr>
          <w:p w14:paraId="2051BF15" w14:textId="1FE2C6EA" w:rsidR="0093621D" w:rsidRPr="00E03C65" w:rsidRDefault="00E970BF" w:rsidP="00E03C65">
            <w:pPr>
              <w:spacing w:before="0" w:line="240" w:lineRule="auto"/>
              <w:rPr>
                <w:rFonts w:cs="Arial"/>
                <w:sz w:val="18"/>
                <w:szCs w:val="18"/>
              </w:rPr>
            </w:pPr>
            <w:r w:rsidRPr="00E03C65">
              <w:rPr>
                <w:sz w:val="18"/>
                <w:szCs w:val="18"/>
              </w:rPr>
              <w:t>TrangNN4</w:t>
            </w:r>
          </w:p>
        </w:tc>
        <w:tc>
          <w:tcPr>
            <w:tcW w:w="992" w:type="dxa"/>
          </w:tcPr>
          <w:p w14:paraId="6B463746" w14:textId="796F99EF" w:rsidR="0093621D" w:rsidRPr="00E03C65" w:rsidRDefault="0093621D" w:rsidP="00E03C65">
            <w:pPr>
              <w:spacing w:before="0" w:line="240" w:lineRule="auto"/>
              <w:rPr>
                <w:rFonts w:cs="Arial"/>
                <w:sz w:val="18"/>
                <w:szCs w:val="18"/>
              </w:rPr>
            </w:pPr>
            <w:r w:rsidRPr="00E03C65">
              <w:rPr>
                <w:rFonts w:cs="Arial"/>
                <w:sz w:val="18"/>
                <w:szCs w:val="18"/>
              </w:rPr>
              <w:t>Michael Hering</w:t>
            </w:r>
          </w:p>
        </w:tc>
        <w:tc>
          <w:tcPr>
            <w:tcW w:w="992" w:type="dxa"/>
          </w:tcPr>
          <w:p w14:paraId="7B1C3AD4" w14:textId="00827D14" w:rsidR="0093621D" w:rsidRPr="00E03C65" w:rsidRDefault="00E970BF" w:rsidP="00E03C65">
            <w:pPr>
              <w:pStyle w:val="headingbang"/>
              <w:spacing w:before="0" w:line="240" w:lineRule="auto"/>
              <w:rPr>
                <w:rFonts w:ascii="Arial" w:hAnsi="Arial" w:cs="Arial"/>
                <w:b w:val="0"/>
                <w:color w:val="000000" w:themeColor="text1"/>
                <w:sz w:val="18"/>
                <w:szCs w:val="18"/>
              </w:rPr>
            </w:pPr>
            <w:r w:rsidRPr="00E03C65">
              <w:rPr>
                <w:rFonts w:ascii="Arial" w:hAnsi="Arial" w:cs="Arial"/>
                <w:b w:val="0"/>
                <w:color w:val="000000" w:themeColor="text1"/>
                <w:sz w:val="18"/>
                <w:szCs w:val="18"/>
              </w:rPr>
              <w:t>HoanNK</w:t>
            </w:r>
          </w:p>
        </w:tc>
      </w:tr>
      <w:tr w:rsidR="00E03C65" w:rsidRPr="00E03C65" w14:paraId="62DE7EB5" w14:textId="77777777" w:rsidTr="00E03C65">
        <w:tc>
          <w:tcPr>
            <w:tcW w:w="450" w:type="dxa"/>
          </w:tcPr>
          <w:p w14:paraId="6468A59F" w14:textId="0CAFE2E3" w:rsidR="00E03C65" w:rsidRPr="00E03C65" w:rsidRDefault="00E03C65" w:rsidP="00E03C65">
            <w:pPr>
              <w:spacing w:before="0" w:line="240" w:lineRule="auto"/>
              <w:rPr>
                <w:rFonts w:cs="Arial"/>
                <w:sz w:val="18"/>
                <w:szCs w:val="18"/>
              </w:rPr>
            </w:pPr>
            <w:r>
              <w:rPr>
                <w:rFonts w:cs="Arial"/>
                <w:sz w:val="18"/>
                <w:szCs w:val="18"/>
              </w:rPr>
              <w:t>2</w:t>
            </w:r>
          </w:p>
        </w:tc>
        <w:tc>
          <w:tcPr>
            <w:tcW w:w="1166" w:type="dxa"/>
          </w:tcPr>
          <w:p w14:paraId="1DA6C0EC" w14:textId="371D00C6" w:rsidR="00E03C65" w:rsidRPr="00E03C65" w:rsidRDefault="00E03C65" w:rsidP="00E03C65">
            <w:pPr>
              <w:spacing w:before="0" w:line="240" w:lineRule="auto"/>
              <w:rPr>
                <w:rFonts w:cs="Arial"/>
                <w:sz w:val="18"/>
                <w:szCs w:val="18"/>
              </w:rPr>
            </w:pPr>
            <w:r>
              <w:rPr>
                <w:rFonts w:cs="Arial"/>
                <w:sz w:val="18"/>
                <w:szCs w:val="18"/>
              </w:rPr>
              <w:t>01.04.2021</w:t>
            </w:r>
          </w:p>
        </w:tc>
        <w:tc>
          <w:tcPr>
            <w:tcW w:w="851" w:type="dxa"/>
          </w:tcPr>
          <w:p w14:paraId="2143D063" w14:textId="3F9BF595" w:rsidR="00E03C65" w:rsidRPr="00E03C65" w:rsidRDefault="00E03C65" w:rsidP="00E03C65">
            <w:pPr>
              <w:spacing w:before="0" w:line="240" w:lineRule="auto"/>
              <w:rPr>
                <w:rFonts w:cs="Arial"/>
                <w:sz w:val="18"/>
                <w:szCs w:val="18"/>
              </w:rPr>
            </w:pPr>
            <w:r>
              <w:rPr>
                <w:rFonts w:cs="Arial"/>
                <w:sz w:val="18"/>
                <w:szCs w:val="18"/>
              </w:rPr>
              <w:t>1.1</w:t>
            </w:r>
          </w:p>
        </w:tc>
        <w:tc>
          <w:tcPr>
            <w:tcW w:w="1134" w:type="dxa"/>
          </w:tcPr>
          <w:p w14:paraId="419E37B6" w14:textId="4CD7B6A0" w:rsidR="00E03C65" w:rsidRPr="00E03C65" w:rsidRDefault="00E03C65" w:rsidP="00E03C65">
            <w:pPr>
              <w:spacing w:before="0" w:line="240" w:lineRule="auto"/>
              <w:rPr>
                <w:rFonts w:cs="Arial"/>
                <w:sz w:val="18"/>
                <w:szCs w:val="18"/>
              </w:rPr>
            </w:pPr>
            <w:r>
              <w:rPr>
                <w:rFonts w:cs="Arial"/>
                <w:sz w:val="18"/>
                <w:szCs w:val="18"/>
              </w:rPr>
              <w:t>Biannually revision</w:t>
            </w:r>
          </w:p>
        </w:tc>
        <w:tc>
          <w:tcPr>
            <w:tcW w:w="2835" w:type="dxa"/>
          </w:tcPr>
          <w:p w14:paraId="7ECBD0BE" w14:textId="2B34B611" w:rsidR="00E03C65" w:rsidRPr="00FA03A9" w:rsidRDefault="00E03C65" w:rsidP="00E03C65">
            <w:pPr>
              <w:spacing w:before="0" w:line="240" w:lineRule="auto"/>
              <w:rPr>
                <w:rFonts w:cs="Arial"/>
                <w:sz w:val="18"/>
                <w:szCs w:val="18"/>
              </w:rPr>
            </w:pPr>
            <w:r>
              <w:rPr>
                <w:rFonts w:cs="Arial"/>
                <w:sz w:val="18"/>
                <w:szCs w:val="18"/>
              </w:rPr>
              <w:t>1.</w:t>
            </w:r>
            <w:r w:rsidRPr="00FA03A9">
              <w:rPr>
                <w:rFonts w:cs="Arial"/>
                <w:sz w:val="18"/>
                <w:szCs w:val="18"/>
              </w:rPr>
              <w:t xml:space="preserve">1 changed: </w:t>
            </w:r>
            <w:proofErr w:type="spellStart"/>
            <w:r w:rsidRPr="00FA03A9">
              <w:rPr>
                <w:rFonts w:cs="Arial"/>
                <w:sz w:val="18"/>
                <w:szCs w:val="18"/>
              </w:rPr>
              <w:t>Policy_Personal</w:t>
            </w:r>
            <w:proofErr w:type="spellEnd"/>
            <w:r w:rsidRPr="00FA03A9">
              <w:rPr>
                <w:rFonts w:cs="Arial"/>
                <w:sz w:val="18"/>
                <w:szCs w:val="18"/>
              </w:rPr>
              <w:t xml:space="preserve"> Data Protection Management_v3.2</w:t>
            </w:r>
          </w:p>
          <w:p w14:paraId="6C1415A9" w14:textId="77777777" w:rsidR="00E03C65" w:rsidRPr="00FA03A9" w:rsidRDefault="00E03C65" w:rsidP="00E03C65">
            <w:pPr>
              <w:spacing w:before="0" w:line="240" w:lineRule="auto"/>
              <w:rPr>
                <w:rFonts w:cs="Arial"/>
                <w:sz w:val="18"/>
                <w:szCs w:val="18"/>
              </w:rPr>
            </w:pPr>
            <w:r w:rsidRPr="00FA03A9">
              <w:rPr>
                <w:rFonts w:cs="Arial"/>
                <w:sz w:val="18"/>
                <w:szCs w:val="18"/>
              </w:rPr>
              <w:t xml:space="preserve">1.2 added: </w:t>
            </w:r>
            <w:proofErr w:type="spellStart"/>
            <w:r w:rsidRPr="00FA03A9">
              <w:rPr>
                <w:rFonts w:cs="Arial"/>
                <w:sz w:val="18"/>
                <w:szCs w:val="18"/>
              </w:rPr>
              <w:t>Policy_PIMS</w:t>
            </w:r>
            <w:proofErr w:type="spellEnd"/>
            <w:r w:rsidRPr="00FA03A9">
              <w:rPr>
                <w:rFonts w:cs="Arial"/>
                <w:sz w:val="18"/>
                <w:szCs w:val="18"/>
              </w:rPr>
              <w:t xml:space="preserve"> Scope_v1.1</w:t>
            </w:r>
            <w:r w:rsidRPr="00FA03A9">
              <w:rPr>
                <w:rFonts w:cs="Arial"/>
                <w:bCs/>
                <w:sz w:val="18"/>
                <w:szCs w:val="18"/>
                <w:lang w:val="en-GB"/>
              </w:rPr>
              <w:br/>
            </w:r>
            <w:r>
              <w:rPr>
                <w:rFonts w:cs="Arial"/>
                <w:iCs/>
                <w:sz w:val="18"/>
                <w:szCs w:val="18"/>
              </w:rPr>
              <w:t>4</w:t>
            </w:r>
            <w:r w:rsidRPr="00FA03A9">
              <w:rPr>
                <w:rFonts w:cs="Arial"/>
                <w:iCs/>
                <w:sz w:val="18"/>
                <w:szCs w:val="18"/>
              </w:rPr>
              <w:t>.2 13 added PIPL,</w:t>
            </w:r>
            <w:r w:rsidRPr="00FA03A9">
              <w:rPr>
                <w:rFonts w:cs="Arial"/>
                <w:iCs/>
                <w:sz w:val="18"/>
                <w:szCs w:val="18"/>
              </w:rPr>
              <w:br/>
            </w:r>
            <w:r>
              <w:rPr>
                <w:rFonts w:cs="Arial"/>
                <w:iCs/>
                <w:sz w:val="18"/>
                <w:szCs w:val="18"/>
              </w:rPr>
              <w:t>4</w:t>
            </w:r>
            <w:r w:rsidRPr="00FA03A9">
              <w:rPr>
                <w:rFonts w:cs="Arial"/>
                <w:iCs/>
                <w:sz w:val="18"/>
                <w:szCs w:val="18"/>
              </w:rPr>
              <w:t xml:space="preserve">.2 14 added: </w:t>
            </w:r>
            <w:r w:rsidRPr="00FA03A9">
              <w:rPr>
                <w:rFonts w:cs="Arial"/>
                <w:sz w:val="18"/>
                <w:szCs w:val="18"/>
              </w:rPr>
              <w:t>PDPL, UAR, Decree-Law No. 45 of 2021</w:t>
            </w:r>
          </w:p>
          <w:p w14:paraId="598FF259" w14:textId="77777777" w:rsidR="00E03C65" w:rsidRPr="00FA03A9" w:rsidRDefault="00E03C65" w:rsidP="00E03C65">
            <w:pPr>
              <w:spacing w:before="0" w:line="240" w:lineRule="auto"/>
              <w:rPr>
                <w:rFonts w:cs="Arial"/>
                <w:iCs/>
                <w:sz w:val="18"/>
                <w:szCs w:val="18"/>
              </w:rPr>
            </w:pPr>
            <w:r>
              <w:rPr>
                <w:rFonts w:cs="Arial"/>
                <w:iCs/>
                <w:sz w:val="18"/>
                <w:szCs w:val="18"/>
              </w:rPr>
              <w:t>4</w:t>
            </w:r>
            <w:r w:rsidRPr="00FA03A9">
              <w:rPr>
                <w:rFonts w:cs="Arial"/>
                <w:iCs/>
                <w:sz w:val="18"/>
                <w:szCs w:val="18"/>
              </w:rPr>
              <w:t xml:space="preserve">.2 16 added: Decree of the Vietnamese Government: </w:t>
            </w:r>
            <w:r w:rsidRPr="00FA03A9">
              <w:rPr>
                <w:rFonts w:cs="Arial"/>
                <w:iCs/>
                <w:sz w:val="18"/>
                <w:szCs w:val="18"/>
              </w:rPr>
              <w:br/>
            </w:r>
            <w:proofErr w:type="spellStart"/>
            <w:r w:rsidRPr="00FA03A9">
              <w:rPr>
                <w:rFonts w:cs="Arial"/>
                <w:iCs/>
                <w:sz w:val="18"/>
                <w:szCs w:val="18"/>
              </w:rPr>
              <w:t>Nghị</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Quy</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Về</w:t>
            </w:r>
            <w:proofErr w:type="spellEnd"/>
            <w:r w:rsidRPr="00FA03A9">
              <w:rPr>
                <w:rFonts w:cs="Arial"/>
                <w:iCs/>
                <w:sz w:val="18"/>
                <w:szCs w:val="18"/>
              </w:rPr>
              <w:t xml:space="preserve"> </w:t>
            </w:r>
            <w:proofErr w:type="spellStart"/>
            <w:r w:rsidRPr="00FA03A9">
              <w:rPr>
                <w:rFonts w:cs="Arial"/>
                <w:iCs/>
                <w:sz w:val="18"/>
                <w:szCs w:val="18"/>
              </w:rPr>
              <w:t>Bảo</w:t>
            </w:r>
            <w:proofErr w:type="spellEnd"/>
            <w:r w:rsidRPr="00FA03A9">
              <w:rPr>
                <w:rFonts w:cs="Arial"/>
                <w:iCs/>
                <w:sz w:val="18"/>
                <w:szCs w:val="18"/>
              </w:rPr>
              <w:t xml:space="preserve"> </w:t>
            </w:r>
            <w:proofErr w:type="spellStart"/>
            <w:r w:rsidRPr="00FA03A9">
              <w:rPr>
                <w:rFonts w:cs="Arial"/>
                <w:iCs/>
                <w:sz w:val="18"/>
                <w:szCs w:val="18"/>
              </w:rPr>
              <w:t>Vệ</w:t>
            </w:r>
            <w:proofErr w:type="spellEnd"/>
            <w:r w:rsidRPr="00FA03A9">
              <w:rPr>
                <w:rFonts w:cs="Arial"/>
                <w:iCs/>
                <w:sz w:val="18"/>
                <w:szCs w:val="18"/>
              </w:rPr>
              <w:t xml:space="preserve"> </w:t>
            </w:r>
            <w:proofErr w:type="spellStart"/>
            <w:r w:rsidRPr="00FA03A9">
              <w:rPr>
                <w:rFonts w:cs="Arial"/>
                <w:iCs/>
                <w:sz w:val="18"/>
                <w:szCs w:val="18"/>
              </w:rPr>
              <w:t>Dữ</w:t>
            </w:r>
            <w:proofErr w:type="spellEnd"/>
            <w:r w:rsidRPr="00FA03A9">
              <w:rPr>
                <w:rFonts w:cs="Arial"/>
                <w:iCs/>
                <w:sz w:val="18"/>
                <w:szCs w:val="18"/>
              </w:rPr>
              <w:t xml:space="preserve"> </w:t>
            </w:r>
            <w:proofErr w:type="spellStart"/>
            <w:r w:rsidRPr="00FA03A9">
              <w:rPr>
                <w:rFonts w:cs="Arial"/>
                <w:iCs/>
                <w:sz w:val="18"/>
                <w:szCs w:val="18"/>
              </w:rPr>
              <w:t>Liệu</w:t>
            </w:r>
            <w:proofErr w:type="spellEnd"/>
            <w:r w:rsidRPr="00FA03A9">
              <w:rPr>
                <w:rFonts w:cs="Arial"/>
                <w:iCs/>
                <w:sz w:val="18"/>
                <w:szCs w:val="18"/>
              </w:rPr>
              <w:t xml:space="preserve"> </w:t>
            </w:r>
            <w:proofErr w:type="spellStart"/>
            <w:r w:rsidRPr="00FA03A9">
              <w:rPr>
                <w:rFonts w:cs="Arial"/>
                <w:iCs/>
                <w:sz w:val="18"/>
                <w:szCs w:val="18"/>
              </w:rPr>
              <w:t>Cá</w:t>
            </w:r>
            <w:proofErr w:type="spellEnd"/>
            <w:r w:rsidRPr="00FA03A9">
              <w:rPr>
                <w:rFonts w:cs="Arial"/>
                <w:iCs/>
                <w:sz w:val="18"/>
                <w:szCs w:val="18"/>
              </w:rPr>
              <w:t xml:space="preserve"> </w:t>
            </w:r>
            <w:proofErr w:type="spellStart"/>
            <w:r w:rsidRPr="00FA03A9">
              <w:rPr>
                <w:rFonts w:cs="Arial"/>
                <w:iCs/>
                <w:sz w:val="18"/>
                <w:szCs w:val="18"/>
              </w:rPr>
              <w:t>Nhân</w:t>
            </w:r>
            <w:proofErr w:type="spellEnd"/>
          </w:p>
          <w:p w14:paraId="6DCC2179" w14:textId="02512736" w:rsidR="00E03C65" w:rsidRPr="00E03C65" w:rsidRDefault="00E03C65" w:rsidP="00E03C65">
            <w:pPr>
              <w:spacing w:before="0" w:line="240" w:lineRule="auto"/>
              <w:rPr>
                <w:rFonts w:cs="Arial"/>
                <w:sz w:val="18"/>
                <w:szCs w:val="18"/>
              </w:rPr>
            </w:pPr>
            <w:r>
              <w:rPr>
                <w:rFonts w:cs="Arial"/>
                <w:sz w:val="18"/>
                <w:szCs w:val="18"/>
              </w:rPr>
              <w:t>4</w:t>
            </w:r>
            <w:r w:rsidRPr="00FA03A9">
              <w:rPr>
                <w:rFonts w:cs="Arial"/>
                <w:sz w:val="18"/>
                <w:szCs w:val="18"/>
              </w:rPr>
              <w:t>.2 17 PDP_ Handbook_Version_V3.2</w:t>
            </w:r>
            <w:r w:rsidRPr="00FA03A9">
              <w:rPr>
                <w:rFonts w:cs="Arial"/>
                <w:sz w:val="18"/>
                <w:szCs w:val="18"/>
              </w:rPr>
              <w:br/>
            </w:r>
            <w:r>
              <w:rPr>
                <w:rFonts w:cs="Arial"/>
                <w:sz w:val="18"/>
                <w:szCs w:val="18"/>
              </w:rPr>
              <w:t>4</w:t>
            </w:r>
            <w:r w:rsidRPr="00FA03A9">
              <w:rPr>
                <w:rFonts w:cs="Arial"/>
                <w:sz w:val="18"/>
                <w:szCs w:val="18"/>
              </w:rPr>
              <w:t xml:space="preserve">.2 18: </w:t>
            </w:r>
            <w:r w:rsidRPr="00FA03A9">
              <w:rPr>
                <w:rFonts w:cs="Arial"/>
                <w:sz w:val="18"/>
                <w:szCs w:val="18"/>
                <w:lang w:val="de-DE"/>
              </w:rPr>
              <w:t>15e-HD/SG/HDCV/FSOFT</w:t>
            </w:r>
          </w:p>
        </w:tc>
        <w:tc>
          <w:tcPr>
            <w:tcW w:w="1134" w:type="dxa"/>
          </w:tcPr>
          <w:p w14:paraId="4B2D0F6D" w14:textId="3208470D" w:rsidR="00E03C65" w:rsidRPr="00E03C65" w:rsidRDefault="00E03C65" w:rsidP="00E03C65">
            <w:pPr>
              <w:spacing w:before="0" w:line="240" w:lineRule="auto"/>
              <w:rPr>
                <w:sz w:val="18"/>
                <w:szCs w:val="18"/>
              </w:rPr>
            </w:pPr>
            <w:r>
              <w:rPr>
                <w:sz w:val="18"/>
                <w:szCs w:val="18"/>
              </w:rPr>
              <w:t>LinhDTD1</w:t>
            </w:r>
          </w:p>
        </w:tc>
        <w:tc>
          <w:tcPr>
            <w:tcW w:w="992" w:type="dxa"/>
          </w:tcPr>
          <w:p w14:paraId="1AB594CD" w14:textId="5D4C0202" w:rsidR="00E03C65" w:rsidRPr="00E03C65" w:rsidRDefault="00E03C65" w:rsidP="00E03C65">
            <w:pPr>
              <w:spacing w:before="0" w:line="240" w:lineRule="auto"/>
              <w:rPr>
                <w:rFonts w:cs="Arial"/>
                <w:sz w:val="18"/>
                <w:szCs w:val="18"/>
              </w:rPr>
            </w:pPr>
            <w:r>
              <w:rPr>
                <w:rFonts w:cs="Arial"/>
                <w:sz w:val="18"/>
                <w:szCs w:val="18"/>
              </w:rPr>
              <w:t>Michael Hering</w:t>
            </w:r>
          </w:p>
        </w:tc>
        <w:tc>
          <w:tcPr>
            <w:tcW w:w="992" w:type="dxa"/>
          </w:tcPr>
          <w:p w14:paraId="431A4BE6" w14:textId="2C0299EB" w:rsidR="00E03C65" w:rsidRPr="00E03C65" w:rsidRDefault="00E03C65" w:rsidP="00E03C65">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r w:rsidR="002768DF" w:rsidRPr="00E03C65" w14:paraId="7B580E00" w14:textId="77777777" w:rsidTr="00E03C65">
        <w:tc>
          <w:tcPr>
            <w:tcW w:w="450" w:type="dxa"/>
          </w:tcPr>
          <w:p w14:paraId="1624F151" w14:textId="7C1E0EDB" w:rsidR="002768DF" w:rsidRDefault="002768DF" w:rsidP="00E03C65">
            <w:pPr>
              <w:spacing w:before="0" w:line="240" w:lineRule="auto"/>
              <w:rPr>
                <w:rFonts w:cs="Arial"/>
                <w:sz w:val="18"/>
                <w:szCs w:val="18"/>
              </w:rPr>
            </w:pPr>
            <w:r>
              <w:rPr>
                <w:rFonts w:cs="Arial"/>
                <w:sz w:val="18"/>
                <w:szCs w:val="18"/>
              </w:rPr>
              <w:t>3</w:t>
            </w:r>
          </w:p>
        </w:tc>
        <w:tc>
          <w:tcPr>
            <w:tcW w:w="1166" w:type="dxa"/>
          </w:tcPr>
          <w:p w14:paraId="224A7E22" w14:textId="6CCAB209" w:rsidR="002768DF" w:rsidRDefault="002768DF" w:rsidP="00E03C65">
            <w:pPr>
              <w:spacing w:before="0" w:line="240" w:lineRule="auto"/>
              <w:rPr>
                <w:rFonts w:cs="Arial"/>
                <w:sz w:val="18"/>
                <w:szCs w:val="18"/>
              </w:rPr>
            </w:pPr>
            <w:r>
              <w:rPr>
                <w:rFonts w:cs="Arial"/>
                <w:sz w:val="18"/>
                <w:szCs w:val="18"/>
              </w:rPr>
              <w:t>01.11.2022</w:t>
            </w:r>
          </w:p>
        </w:tc>
        <w:tc>
          <w:tcPr>
            <w:tcW w:w="851" w:type="dxa"/>
          </w:tcPr>
          <w:p w14:paraId="1ED59055" w14:textId="14BAF7B5" w:rsidR="002768DF" w:rsidRDefault="002768DF" w:rsidP="00E03C65">
            <w:pPr>
              <w:spacing w:before="0" w:line="240" w:lineRule="auto"/>
              <w:rPr>
                <w:rFonts w:cs="Arial"/>
                <w:sz w:val="18"/>
                <w:szCs w:val="18"/>
              </w:rPr>
            </w:pPr>
            <w:r>
              <w:rPr>
                <w:rFonts w:cs="Arial"/>
                <w:sz w:val="18"/>
                <w:szCs w:val="18"/>
              </w:rPr>
              <w:t>1.2</w:t>
            </w:r>
          </w:p>
        </w:tc>
        <w:tc>
          <w:tcPr>
            <w:tcW w:w="1134" w:type="dxa"/>
          </w:tcPr>
          <w:p w14:paraId="020EC647" w14:textId="5869E50A" w:rsidR="002768DF" w:rsidRDefault="002768DF" w:rsidP="00E03C65">
            <w:pPr>
              <w:spacing w:before="0" w:line="240" w:lineRule="auto"/>
              <w:rPr>
                <w:rFonts w:cs="Arial"/>
                <w:sz w:val="18"/>
                <w:szCs w:val="18"/>
              </w:rPr>
            </w:pPr>
            <w:r>
              <w:rPr>
                <w:rFonts w:cs="Arial"/>
                <w:sz w:val="18"/>
                <w:szCs w:val="18"/>
              </w:rPr>
              <w:t>Biannually revision</w:t>
            </w:r>
          </w:p>
        </w:tc>
        <w:tc>
          <w:tcPr>
            <w:tcW w:w="2835" w:type="dxa"/>
          </w:tcPr>
          <w:p w14:paraId="61777603" w14:textId="199A3C23" w:rsidR="002768DF" w:rsidRDefault="002768DF" w:rsidP="002768DF">
            <w:pPr>
              <w:keepNext/>
              <w:spacing w:before="0" w:line="276" w:lineRule="auto"/>
              <w:rPr>
                <w:rFonts w:cs="Arial"/>
                <w:iCs/>
                <w:color w:val="000000"/>
                <w:sz w:val="18"/>
                <w:szCs w:val="18"/>
              </w:rPr>
            </w:pPr>
            <w:r>
              <w:rPr>
                <w:rFonts w:cs="Arial"/>
                <w:iCs/>
                <w:color w:val="000000"/>
                <w:sz w:val="18"/>
                <w:szCs w:val="18"/>
              </w:rPr>
              <w:t xml:space="preserve">Added 4.3. </w:t>
            </w:r>
            <w:r w:rsidRPr="00167C48">
              <w:rPr>
                <w:rFonts w:cs="Arial"/>
                <w:iCs/>
                <w:color w:val="000000"/>
                <w:sz w:val="18"/>
                <w:szCs w:val="18"/>
              </w:rPr>
              <w:t>Data Protection Law, Vietnam, Overview</w:t>
            </w:r>
            <w:r>
              <w:rPr>
                <w:rFonts w:cs="Arial"/>
                <w:iCs/>
                <w:color w:val="000000"/>
                <w:sz w:val="18"/>
                <w:szCs w:val="18"/>
              </w:rPr>
              <w:t>.</w:t>
            </w:r>
          </w:p>
          <w:p w14:paraId="3EF73977" w14:textId="5973D23E" w:rsidR="002768DF" w:rsidRPr="00167C48" w:rsidRDefault="002768DF" w:rsidP="002768DF">
            <w:pPr>
              <w:keepNext/>
              <w:spacing w:before="0" w:line="276" w:lineRule="auto"/>
              <w:rPr>
                <w:rFonts w:cs="Arial"/>
                <w:iCs/>
                <w:color w:val="000000"/>
                <w:sz w:val="18"/>
                <w:szCs w:val="18"/>
              </w:rPr>
            </w:pPr>
            <w:r>
              <w:rPr>
                <w:rFonts w:cs="Arial"/>
                <w:iCs/>
                <w:color w:val="000000"/>
                <w:sz w:val="18"/>
                <w:szCs w:val="18"/>
              </w:rPr>
              <w:t xml:space="preserve">Added 4.2 15 </w:t>
            </w:r>
            <w:r w:rsidRPr="00167C48">
              <w:rPr>
                <w:rFonts w:cs="Arial"/>
                <w:iCs/>
                <w:color w:val="000000"/>
                <w:sz w:val="18"/>
                <w:szCs w:val="18"/>
              </w:rPr>
              <w:t xml:space="preserve">Republic Act 10173 </w:t>
            </w:r>
          </w:p>
          <w:p w14:paraId="27BC2D76" w14:textId="77777777" w:rsidR="002768DF" w:rsidRDefault="002768DF" w:rsidP="002768DF">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w:t>
            </w:r>
          </w:p>
          <w:p w14:paraId="2D64650C" w14:textId="103A153A" w:rsidR="002768DF" w:rsidRDefault="002768DF" w:rsidP="002768DF">
            <w:pPr>
              <w:spacing w:before="0" w:line="240" w:lineRule="auto"/>
              <w:rPr>
                <w:rFonts w:cs="Arial"/>
                <w:iCs/>
                <w:color w:val="000000"/>
                <w:sz w:val="18"/>
                <w:szCs w:val="18"/>
              </w:rPr>
            </w:pPr>
            <w:r>
              <w:rPr>
                <w:rFonts w:cs="Arial"/>
                <w:iCs/>
                <w:color w:val="000000"/>
                <w:sz w:val="18"/>
                <w:szCs w:val="18"/>
              </w:rPr>
              <w:t xml:space="preserve">Added 4.2 17 </w:t>
            </w:r>
            <w:proofErr w:type="spellStart"/>
            <w:r>
              <w:rPr>
                <w:rFonts w:cs="Arial"/>
                <w:iCs/>
                <w:color w:val="000000"/>
                <w:sz w:val="18"/>
                <w:szCs w:val="18"/>
              </w:rPr>
              <w:t>PDPA</w:t>
            </w:r>
            <w:proofErr w:type="spellEnd"/>
          </w:p>
          <w:p w14:paraId="0BD94A84" w14:textId="6A1CA60C" w:rsidR="002768DF" w:rsidRDefault="002768DF" w:rsidP="002768DF">
            <w:pPr>
              <w:spacing w:before="0" w:line="240" w:lineRule="auto"/>
              <w:rPr>
                <w:rFonts w:cs="Arial"/>
                <w:sz w:val="18"/>
                <w:szCs w:val="18"/>
              </w:rPr>
            </w:pPr>
            <w:r>
              <w:rPr>
                <w:rFonts w:cs="Arial"/>
                <w:iCs/>
                <w:color w:val="000000"/>
                <w:sz w:val="18"/>
                <w:szCs w:val="18"/>
              </w:rPr>
              <w:t>Added 3.2 18 TISAX</w:t>
            </w:r>
          </w:p>
        </w:tc>
        <w:tc>
          <w:tcPr>
            <w:tcW w:w="1134" w:type="dxa"/>
          </w:tcPr>
          <w:p w14:paraId="2A0C70B0" w14:textId="79E12406" w:rsidR="002768DF" w:rsidRDefault="002768DF" w:rsidP="00E03C65">
            <w:pPr>
              <w:spacing w:before="0" w:line="240" w:lineRule="auto"/>
              <w:rPr>
                <w:sz w:val="18"/>
                <w:szCs w:val="18"/>
              </w:rPr>
            </w:pPr>
            <w:r>
              <w:rPr>
                <w:sz w:val="18"/>
                <w:szCs w:val="18"/>
              </w:rPr>
              <w:t>LinhDTD1</w:t>
            </w:r>
          </w:p>
        </w:tc>
        <w:tc>
          <w:tcPr>
            <w:tcW w:w="992" w:type="dxa"/>
          </w:tcPr>
          <w:p w14:paraId="3A4BEC64" w14:textId="50D5E2DA" w:rsidR="002768DF" w:rsidRDefault="002768DF" w:rsidP="00E03C65">
            <w:pPr>
              <w:spacing w:before="0" w:line="240" w:lineRule="auto"/>
              <w:rPr>
                <w:rFonts w:cs="Arial"/>
                <w:sz w:val="18"/>
                <w:szCs w:val="18"/>
              </w:rPr>
            </w:pPr>
            <w:r>
              <w:rPr>
                <w:rFonts w:cs="Arial"/>
                <w:sz w:val="18"/>
                <w:szCs w:val="18"/>
              </w:rPr>
              <w:t>Michael Hering</w:t>
            </w:r>
          </w:p>
        </w:tc>
        <w:tc>
          <w:tcPr>
            <w:tcW w:w="992" w:type="dxa"/>
          </w:tcPr>
          <w:p w14:paraId="0DB88878" w14:textId="4637FAD8" w:rsidR="002768DF" w:rsidRDefault="002768DF" w:rsidP="00E03C65">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bl>
    <w:p w14:paraId="002F5D62" w14:textId="77777777" w:rsidR="00B4625B" w:rsidRPr="00C57E03" w:rsidRDefault="00B4625B" w:rsidP="00B4625B">
      <w:pPr>
        <w:pStyle w:val="Heading1"/>
        <w:numPr>
          <w:ilvl w:val="0"/>
          <w:numId w:val="19"/>
        </w:numPr>
        <w:rPr>
          <w:rFonts w:cs="Arial"/>
        </w:rPr>
      </w:pPr>
      <w:bookmarkStart w:id="0" w:name="_Toc69981649"/>
      <w:bookmarkStart w:id="1" w:name="_Toc118462201"/>
      <w:r w:rsidRPr="00C57E03">
        <w:rPr>
          <w:rFonts w:cs="Arial"/>
        </w:rPr>
        <w:lastRenderedPageBreak/>
        <w:t>INTRODUCTION</w:t>
      </w:r>
      <w:bookmarkEnd w:id="0"/>
      <w:bookmarkEnd w:id="1"/>
    </w:p>
    <w:p w14:paraId="341E2A6E" w14:textId="7497F46B" w:rsidR="00B4625B" w:rsidRDefault="009F0AA1" w:rsidP="00B22AD3">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procedures, guidelines, and templates</w:t>
      </w:r>
      <w:r w:rsidRPr="009938CD">
        <w:t xml:space="preserve"> lay out strict requirements for processing personal data pertaining to customers,</w:t>
      </w:r>
      <w:r>
        <w:t xml:space="preserve"> </w:t>
      </w:r>
      <w:r w:rsidRPr="009938CD">
        <w:t>business partners</w:t>
      </w:r>
      <w:r>
        <w:t xml:space="preserve">, </w:t>
      </w:r>
      <w:r w:rsidR="00A83294"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procedures, </w:t>
      </w:r>
      <w:r w:rsidR="00A83294">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 xml:space="preserve">FPT Software, </w:t>
      </w:r>
      <w:r w:rsidR="00A83294">
        <w:t>subsidiaries,</w:t>
      </w:r>
      <w:r>
        <w:t xml:space="preserve">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044E8FCA" w14:textId="668509A3" w:rsidR="00B4625B" w:rsidRDefault="00B4625B" w:rsidP="00B4625B">
      <w:pPr>
        <w:pStyle w:val="Heading2"/>
        <w:numPr>
          <w:ilvl w:val="1"/>
          <w:numId w:val="19"/>
        </w:numPr>
        <w:rPr>
          <w:rFonts w:cs="Arial"/>
        </w:rPr>
      </w:pPr>
      <w:bookmarkStart w:id="2" w:name="_Toc69981650"/>
      <w:bookmarkStart w:id="3" w:name="_Toc118462202"/>
      <w:r w:rsidRPr="00C57E03">
        <w:rPr>
          <w:rFonts w:cs="Arial"/>
        </w:rPr>
        <w:t>Purpose</w:t>
      </w:r>
      <w:bookmarkEnd w:id="2"/>
      <w:bookmarkEnd w:id="3"/>
    </w:p>
    <w:p w14:paraId="792A49BF" w14:textId="713BCA7A" w:rsidR="00E03C65" w:rsidRDefault="00E03C65" w:rsidP="005F1202">
      <w:pPr>
        <w:pStyle w:val="BodyText"/>
        <w:jc w:val="both"/>
      </w:pPr>
      <w:r>
        <w:t xml:space="preserve">The FPT Software Personal Data Handbook including the Protection Policy, </w:t>
      </w:r>
      <w:proofErr w:type="spellStart"/>
      <w:r w:rsidRPr="001C2F3E">
        <w:t>Policy_Personal</w:t>
      </w:r>
      <w:proofErr w:type="spellEnd"/>
      <w:r w:rsidRPr="001C2F3E">
        <w:t xml:space="preserve"> Data Protection Management_</w:t>
      </w:r>
      <w:r>
        <w:t>v</w:t>
      </w:r>
      <w:r w:rsidRPr="001C2F3E">
        <w:t>3.</w:t>
      </w:r>
      <w:r w:rsidR="002768DF">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1116891C" w14:textId="69CEEFBE" w:rsidR="005824A5" w:rsidRPr="005824A5" w:rsidRDefault="005824A5" w:rsidP="005F1202">
      <w:pPr>
        <w:jc w:val="both"/>
        <w:rPr>
          <w:rFonts w:cs="Arial"/>
        </w:rPr>
      </w:pPr>
      <w:r>
        <w:rPr>
          <w:rFonts w:cs="Arial"/>
        </w:rPr>
        <w:t xml:space="preserve">The purpose it to </w:t>
      </w:r>
      <w:r w:rsidRPr="005824A5">
        <w:rPr>
          <w:rFonts w:cs="Arial"/>
        </w:rPr>
        <w:t xml:space="preserve">drive compliance with the EU General Data Protection Regulation (GDPR) </w:t>
      </w:r>
      <w:r>
        <w:rPr>
          <w:rFonts w:cs="Arial"/>
        </w:rPr>
        <w:t xml:space="preserve">and other national/international Data Protection Regulations </w:t>
      </w:r>
      <w:r w:rsidRPr="005824A5">
        <w:rPr>
          <w:rFonts w:cs="Arial"/>
        </w:rPr>
        <w:t xml:space="preserve">and ensure ongoing compliance of all core activities for </w:t>
      </w:r>
      <w:sdt>
        <w:sdtPr>
          <w:rPr>
            <w:rFonts w:cs="Arial"/>
          </w:rPr>
          <w:alias w:val="CompanyName"/>
          <w:tag w:val="CompanyName"/>
          <w:id w:val="2041551995"/>
          <w:placeholder>
            <w:docPart w:val="76060DB150D3BC48A4629A4C4B549318"/>
          </w:placeholder>
          <w:text/>
        </w:sdtPr>
        <w:sdtEndPr/>
        <w:sdtContent>
          <w:r>
            <w:rPr>
              <w:rFonts w:cs="Arial"/>
            </w:rPr>
            <w:t>FPT Software</w:t>
          </w:r>
        </w:sdtContent>
      </w:sdt>
      <w:r w:rsidRPr="005824A5">
        <w:rPr>
          <w:rFonts w:cs="Arial"/>
        </w:rPr>
        <w:t>.</w:t>
      </w:r>
    </w:p>
    <w:p w14:paraId="6B48BAB2" w14:textId="77777777" w:rsidR="00B4625B" w:rsidRPr="00C57E03" w:rsidRDefault="00B4625B" w:rsidP="005F1202">
      <w:pPr>
        <w:pStyle w:val="Heading2"/>
        <w:numPr>
          <w:ilvl w:val="1"/>
          <w:numId w:val="19"/>
        </w:numPr>
        <w:jc w:val="both"/>
        <w:rPr>
          <w:rFonts w:cs="Arial"/>
        </w:rPr>
      </w:pPr>
      <w:bookmarkStart w:id="4" w:name="_Toc69981651"/>
      <w:bookmarkStart w:id="5" w:name="_Toc138667729"/>
      <w:bookmarkStart w:id="6" w:name="_Toc118462203"/>
      <w:r w:rsidRPr="00C57E03">
        <w:rPr>
          <w:rFonts w:cs="Arial"/>
        </w:rPr>
        <w:t>Application Scope</w:t>
      </w:r>
      <w:bookmarkEnd w:id="4"/>
      <w:bookmarkEnd w:id="5"/>
      <w:bookmarkEnd w:id="6"/>
      <w:r w:rsidRPr="00C57E03">
        <w:rPr>
          <w:rFonts w:cs="Arial"/>
        </w:rPr>
        <w:t xml:space="preserve"> </w:t>
      </w:r>
    </w:p>
    <w:p w14:paraId="602F3FEA" w14:textId="58847391" w:rsidR="00B4625B" w:rsidRDefault="00B4625B" w:rsidP="005F1202">
      <w:pPr>
        <w:jc w:val="both"/>
        <w:rPr>
          <w:rFonts w:cs="Arial"/>
        </w:rPr>
      </w:pPr>
      <w:r>
        <w:rPr>
          <w:rFonts w:cs="Arial"/>
        </w:rPr>
        <w:t>In scope are FPT Software's business processes and information systems involved in the collection, processing, use and transfer of personal data and all employees, contractors and 3</w:t>
      </w:r>
      <w:r>
        <w:rPr>
          <w:rFonts w:cs="Arial"/>
          <w:vertAlign w:val="superscript"/>
        </w:rPr>
        <w:t>rd</w:t>
      </w:r>
      <w:r>
        <w:rPr>
          <w:rFonts w:cs="Arial"/>
        </w:rPr>
        <w:t xml:space="preserve"> party providers involved in the processing of personal data on behalf of FPT Software.</w:t>
      </w:r>
      <w:r w:rsidR="00E03C65">
        <w:rPr>
          <w:rFonts w:cs="Arial"/>
        </w:rPr>
        <w:t xml:space="preserve"> See </w:t>
      </w:r>
      <w:proofErr w:type="spellStart"/>
      <w:r w:rsidR="00E03C65" w:rsidRPr="00E03C65">
        <w:rPr>
          <w:rFonts w:cs="Arial"/>
        </w:rPr>
        <w:t>Policy_PIMS</w:t>
      </w:r>
      <w:proofErr w:type="spellEnd"/>
      <w:r w:rsidR="00E03C65" w:rsidRPr="00E03C65">
        <w:rPr>
          <w:rFonts w:cs="Arial"/>
        </w:rPr>
        <w:t xml:space="preserve"> Scope_v1.</w:t>
      </w:r>
      <w:r w:rsidR="002768DF">
        <w:rPr>
          <w:rFonts w:cs="Arial"/>
        </w:rPr>
        <w:t>2</w:t>
      </w:r>
      <w:r w:rsidR="00E03C65">
        <w:rPr>
          <w:rFonts w:cs="Arial"/>
        </w:rPr>
        <w:t>.</w:t>
      </w:r>
    </w:p>
    <w:p w14:paraId="0FB3DA97" w14:textId="77777777" w:rsidR="00B4625B" w:rsidRDefault="00B4625B" w:rsidP="00B4625B">
      <w:pPr>
        <w:spacing w:before="0" w:line="240" w:lineRule="auto"/>
        <w:rPr>
          <w:rFonts w:cs="Arial"/>
        </w:rPr>
      </w:pPr>
      <w:r>
        <w:rPr>
          <w:rFonts w:cs="Arial"/>
        </w:rPr>
        <w:br w:type="page"/>
      </w:r>
    </w:p>
    <w:p w14:paraId="01D57986" w14:textId="77777777" w:rsidR="00B4625B" w:rsidRPr="00C57E03" w:rsidRDefault="00B4625B" w:rsidP="00B4625B">
      <w:pPr>
        <w:pStyle w:val="Heading2"/>
        <w:numPr>
          <w:ilvl w:val="1"/>
          <w:numId w:val="19"/>
        </w:numPr>
        <w:rPr>
          <w:rFonts w:cs="Arial"/>
        </w:rPr>
      </w:pPr>
      <w:bookmarkStart w:id="7" w:name="_Toc69981652"/>
      <w:bookmarkStart w:id="8" w:name="_Toc118462204"/>
      <w:r w:rsidRPr="00C57E03">
        <w:rPr>
          <w:rFonts w:cs="Arial"/>
        </w:rPr>
        <w:lastRenderedPageBreak/>
        <w:t>Responsibility</w:t>
      </w:r>
      <w:bookmarkEnd w:id="7"/>
      <w:bookmarkEnd w:id="8"/>
    </w:p>
    <w:p w14:paraId="247876FC" w14:textId="77777777" w:rsidR="00950DDC" w:rsidRDefault="00950DDC" w:rsidP="005F1202">
      <w:pPr>
        <w:jc w:val="both"/>
        <w:rPr>
          <w:rFonts w:cs="Arial"/>
        </w:rPr>
      </w:pPr>
      <w:r>
        <w:rPr>
          <w:rFonts w:cs="Arial"/>
        </w:rPr>
        <w:t xml:space="preserve">The Global Data Protection Officer, appointed by the FPT Software Board Member responsible for Data Protection on behalf of the CEO of FPT Software is fully responsible. </w:t>
      </w:r>
    </w:p>
    <w:p w14:paraId="3C796489" w14:textId="565FF621" w:rsidR="00950DDC" w:rsidRDefault="00950DDC" w:rsidP="005F1202">
      <w:pPr>
        <w:jc w:val="both"/>
        <w:rPr>
          <w:rFonts w:cs="Arial"/>
          <w:color w:val="000000" w:themeColor="text1"/>
          <w:shd w:val="clear" w:color="auto" w:fill="FFFFFF"/>
        </w:rPr>
      </w:pPr>
      <w:r>
        <w:rPr>
          <w:rFonts w:eastAsia="Times New Roman" w:cs="Arial"/>
          <w:color w:val="000000" w:themeColor="text1"/>
          <w:shd w:val="clear" w:color="auto" w:fill="FFFFFF"/>
        </w:rPr>
        <w:t xml:space="preserve">The Global </w:t>
      </w:r>
      <w:r>
        <w:rPr>
          <w:rFonts w:eastAsia="Times New Roman" w:cs="Arial"/>
          <w:bCs/>
          <w:color w:val="000000" w:themeColor="text1"/>
          <w:shd w:val="clear" w:color="auto" w:fill="FFFFFF"/>
        </w:rPr>
        <w:t>Data Protection Officer</w:t>
      </w:r>
      <w:r>
        <w:rPr>
          <w:rFonts w:eastAsia="Times New Roman" w:cs="Arial"/>
          <w:color w:val="000000" w:themeColor="text1"/>
          <w:shd w:val="clear" w:color="auto" w:fill="FFFFFF"/>
        </w:rPr>
        <w:t> (GDPO) is an enterprise security leadership role required by the General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Regulation (GDPR), APPI, PDPA, PIPA and other national laws. </w:t>
      </w:r>
      <w:r>
        <w:rPr>
          <w:rFonts w:eastAsia="Times New Roman" w:cs="Arial"/>
          <w:bCs/>
          <w:color w:val="000000" w:themeColor="text1"/>
          <w:shd w:val="clear" w:color="auto" w:fill="FFFFFF"/>
        </w:rPr>
        <w:t>The GDPO</w:t>
      </w:r>
      <w:r>
        <w:rPr>
          <w:rFonts w:eastAsia="Times New Roman" w:cs="Arial"/>
          <w:color w:val="000000" w:themeColor="text1"/>
          <w:shd w:val="clear" w:color="auto" w:fill="FFFFFF"/>
        </w:rPr>
        <w:t> is responsible for overseeing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xml:space="preserve"> strategy and implementation to ensure compliance with GDPR requirements and other Personal Data Protection Acts. </w:t>
      </w:r>
      <w:r>
        <w:rPr>
          <w:rFonts w:cs="Arial"/>
          <w:color w:val="000000" w:themeColor="text1"/>
          <w:shd w:val="clear" w:color="auto" w:fill="FFFFFF"/>
        </w:rPr>
        <w:t>The primary role of the G</w:t>
      </w:r>
      <w:r>
        <w:rPr>
          <w:rFonts w:cs="Arial"/>
          <w:color w:val="000000" w:themeColor="text1"/>
        </w:rPr>
        <w:t>DPO</w:t>
      </w:r>
      <w:r>
        <w:rPr>
          <w:rFonts w:cs="Arial"/>
          <w:color w:val="000000" w:themeColor="text1"/>
          <w:shd w:val="clear" w:color="auto" w:fill="FFFFFF"/>
        </w:rPr>
        <w:t xml:space="preserve"> is to ensure that organization </w:t>
      </w:r>
      <w:r>
        <w:rPr>
          <w:rFonts w:cs="Arial"/>
          <w:color w:val="000000" w:themeColor="text1"/>
        </w:rPr>
        <w:t xml:space="preserve">processes, </w:t>
      </w:r>
      <w:r>
        <w:rPr>
          <w:rFonts w:cs="Arial"/>
          <w:color w:val="000000" w:themeColor="text1"/>
          <w:shd w:val="clear" w:color="auto" w:fill="FFFFFF"/>
        </w:rPr>
        <w:t>the </w:t>
      </w:r>
      <w:r>
        <w:rPr>
          <w:rFonts w:cs="Arial"/>
          <w:color w:val="000000" w:themeColor="text1"/>
        </w:rPr>
        <w:t>personal data</w:t>
      </w:r>
      <w:r>
        <w:rPr>
          <w:rFonts w:cs="Arial"/>
          <w:color w:val="000000" w:themeColor="text1"/>
          <w:shd w:val="clear" w:color="auto" w:fill="FFFFFF"/>
        </w:rPr>
        <w:t xml:space="preserve"> of employees, customers, providers, or any other individuals in compliance with the applicable data protection rules. </w:t>
      </w:r>
    </w:p>
    <w:p w14:paraId="13A2C92D" w14:textId="1567AA39" w:rsidR="005824A5" w:rsidRPr="005824A5" w:rsidRDefault="005824A5" w:rsidP="005F1202">
      <w:pPr>
        <w:jc w:val="both"/>
        <w:rPr>
          <w:rFonts w:cs="Arial"/>
          <w:color w:val="000000" w:themeColor="text1"/>
          <w:shd w:val="clear" w:color="auto" w:fill="FFFFFF"/>
        </w:rPr>
      </w:pPr>
      <w:r w:rsidRPr="005824A5">
        <w:rPr>
          <w:rFonts w:cs="Arial"/>
          <w:color w:val="000000" w:themeColor="text1"/>
          <w:shd w:val="clear" w:color="auto" w:fill="FFFFFF"/>
        </w:rPr>
        <w:t xml:space="preserve">The </w:t>
      </w:r>
      <w:sdt>
        <w:sdtPr>
          <w:rPr>
            <w:rFonts w:cs="Arial"/>
            <w:color w:val="000000" w:themeColor="text1"/>
            <w:shd w:val="clear" w:color="auto" w:fill="FFFFFF"/>
          </w:rPr>
          <w:alias w:val="DataProtectionOfficer"/>
          <w:tag w:val="DataProtectionOfficer"/>
          <w:id w:val="751933938"/>
          <w:placeholder>
            <w:docPart w:val="591147B592FC944492067BCD99302FC1"/>
          </w:placeholder>
          <w:text/>
        </w:sdtPr>
        <w:sdtEndPr/>
        <w:sdtContent>
          <w:r w:rsidRPr="005824A5">
            <w:rPr>
              <w:rFonts w:cs="Arial"/>
              <w:color w:val="000000" w:themeColor="text1"/>
              <w:shd w:val="clear" w:color="auto" w:fill="FFFFFF"/>
            </w:rPr>
            <w:t>Data Protection Officer</w:t>
          </w:r>
        </w:sdtContent>
      </w:sdt>
      <w:r w:rsidRPr="005824A5">
        <w:rPr>
          <w:rFonts w:cs="Arial"/>
          <w:color w:val="000000" w:themeColor="text1"/>
          <w:shd w:val="clear" w:color="auto" w:fill="FFFFFF"/>
        </w:rPr>
        <w:t xml:space="preserve"> reports directly </w:t>
      </w:r>
      <w:r>
        <w:rPr>
          <w:rFonts w:cs="Arial"/>
          <w:color w:val="000000" w:themeColor="text1"/>
          <w:shd w:val="clear" w:color="auto" w:fill="FFFFFF"/>
        </w:rPr>
        <w:t>to the board member responsible for data protection CFO.</w:t>
      </w:r>
    </w:p>
    <w:p w14:paraId="47EB25FC" w14:textId="189AE860" w:rsidR="005824A5" w:rsidRPr="005824A5" w:rsidRDefault="005824A5" w:rsidP="005F1202">
      <w:pPr>
        <w:jc w:val="both"/>
        <w:rPr>
          <w:rFonts w:cs="Arial"/>
          <w:color w:val="000000" w:themeColor="text1"/>
          <w:shd w:val="clear" w:color="auto" w:fill="FFFFFF"/>
        </w:rPr>
      </w:pPr>
      <w:r w:rsidRPr="005824A5">
        <w:rPr>
          <w:rFonts w:cs="Arial"/>
          <w:color w:val="000000" w:themeColor="text1"/>
          <w:shd w:val="clear" w:color="auto" w:fill="FFFFFF"/>
        </w:rPr>
        <w:t xml:space="preserve">Note that Article 24(1) states that data protection compliance is a corporate responsibility of the data controller, not of the </w:t>
      </w:r>
      <w:sdt>
        <w:sdtPr>
          <w:rPr>
            <w:rFonts w:cs="Arial"/>
            <w:color w:val="000000" w:themeColor="text1"/>
            <w:shd w:val="clear" w:color="auto" w:fill="FFFFFF"/>
          </w:rPr>
          <w:alias w:val="DataProtectionOfficer"/>
          <w:tag w:val="DataProtectionOfficer"/>
          <w:id w:val="-815951769"/>
          <w:placeholder>
            <w:docPart w:val="8B1530553066544290F697A844532369"/>
          </w:placeholder>
          <w:text/>
        </w:sdtPr>
        <w:sdtEndPr/>
        <w:sdtContent>
          <w:r w:rsidRPr="005824A5">
            <w:rPr>
              <w:rFonts w:cs="Arial"/>
              <w:color w:val="000000" w:themeColor="text1"/>
              <w:shd w:val="clear" w:color="auto" w:fill="FFFFFF"/>
            </w:rPr>
            <w:t>Data Protection Officer</w:t>
          </w:r>
        </w:sdtContent>
      </w:sdt>
      <w:r w:rsidRPr="005824A5">
        <w:rPr>
          <w:rFonts w:cs="Arial"/>
          <w:color w:val="000000" w:themeColor="text1"/>
          <w:shd w:val="clear" w:color="auto" w:fill="FFFFFF"/>
        </w:rPr>
        <w:t>.</w:t>
      </w:r>
    </w:p>
    <w:p w14:paraId="1D475BF4" w14:textId="21D760AB" w:rsidR="00950DDC" w:rsidRDefault="00950DDC" w:rsidP="005F1202">
      <w:pPr>
        <w:pStyle w:val="BodyText"/>
        <w:jc w:val="both"/>
        <w:rPr>
          <w:rFonts w:cs="Arial"/>
        </w:rPr>
      </w:pPr>
      <w:r w:rsidRPr="008103B4">
        <w:rPr>
          <w:rFonts w:cs="Arial"/>
        </w:rPr>
        <w:t xml:space="preserve">The </w:t>
      </w:r>
      <w:r>
        <w:rPr>
          <w:rFonts w:cs="Arial"/>
        </w:rPr>
        <w:t>GDPO</w:t>
      </w:r>
      <w:r w:rsidRPr="008103B4">
        <w:rPr>
          <w:rFonts w:cs="Arial"/>
        </w:rPr>
        <w:t xml:space="preserve"> is the owner of this document and is responsible for ensuring that this </w:t>
      </w:r>
      <w:r>
        <w:rPr>
          <w:rFonts w:cs="Arial"/>
        </w:rPr>
        <w:t>template</w:t>
      </w:r>
      <w:r w:rsidRPr="008103B4">
        <w:rPr>
          <w:rFonts w:cs="Arial"/>
        </w:rPr>
        <w:t xml:space="preserve"> is reviewed in line with the review requirements of the EU GDPR. </w:t>
      </w:r>
    </w:p>
    <w:p w14:paraId="0273092F" w14:textId="73246D38" w:rsidR="00B4625B" w:rsidRPr="00B4625B" w:rsidRDefault="000C41E4" w:rsidP="00B4625B">
      <w:pPr>
        <w:pStyle w:val="Heading1"/>
        <w:numPr>
          <w:ilvl w:val="0"/>
          <w:numId w:val="19"/>
        </w:numPr>
        <w:rPr>
          <w:rFonts w:cs="Arial"/>
        </w:rPr>
      </w:pPr>
      <w:bookmarkStart w:id="9" w:name="_Toc118462205"/>
      <w:r>
        <w:rPr>
          <w:rFonts w:cs="Arial"/>
        </w:rPr>
        <w:lastRenderedPageBreak/>
        <w:t>Job Description Board Member Responsible for Data Protection</w:t>
      </w:r>
      <w:bookmarkEnd w:id="9"/>
      <w:r>
        <w:rPr>
          <w:rFonts w:cs="Arial"/>
        </w:rPr>
        <w:t xml:space="preserve">  </w:t>
      </w:r>
    </w:p>
    <w:p w14:paraId="5C9A9405" w14:textId="0EF96BE5" w:rsidR="00363911" w:rsidRDefault="000C41E4" w:rsidP="00A01017">
      <w:pPr>
        <w:pStyle w:val="BodyText"/>
        <w:jc w:val="both"/>
        <w:rPr>
          <w:lang w:val="en-GB"/>
        </w:rPr>
      </w:pPr>
      <w:r w:rsidRPr="000C41E4">
        <w:rPr>
          <w:lang w:val="en-GB"/>
        </w:rPr>
        <w:t xml:space="preserve">As detailed </w:t>
      </w:r>
      <w:r w:rsidR="00363911">
        <w:rPr>
          <w:lang w:val="en-GB"/>
        </w:rPr>
        <w:t xml:space="preserve">in </w:t>
      </w:r>
      <w:r>
        <w:rPr>
          <w:lang w:val="en-GB"/>
        </w:rPr>
        <w:t xml:space="preserve">the </w:t>
      </w:r>
      <w:r w:rsidRPr="000C41E4">
        <w:rPr>
          <w:lang w:val="en-GB"/>
        </w:rPr>
        <w:t xml:space="preserve">job description, </w:t>
      </w:r>
      <w:r>
        <w:rPr>
          <w:lang w:val="en-GB"/>
        </w:rPr>
        <w:t xml:space="preserve">the </w:t>
      </w:r>
      <w:r w:rsidRPr="000C41E4">
        <w:rPr>
          <w:lang w:val="en-GB"/>
        </w:rPr>
        <w:t xml:space="preserve">designated </w:t>
      </w:r>
      <w:r>
        <w:rPr>
          <w:lang w:val="en-GB"/>
        </w:rPr>
        <w:t>board</w:t>
      </w:r>
      <w:r w:rsidRPr="000C41E4">
        <w:rPr>
          <w:lang w:val="en-GB"/>
        </w:rPr>
        <w:t xml:space="preserve"> member</w:t>
      </w:r>
      <w:r>
        <w:rPr>
          <w:lang w:val="en-GB"/>
        </w:rPr>
        <w:t xml:space="preserve"> responsible for DP </w:t>
      </w:r>
      <w:r w:rsidRPr="000C41E4">
        <w:rPr>
          <w:lang w:val="en-GB"/>
        </w:rPr>
        <w:t xml:space="preserve">accountable to </w:t>
      </w:r>
      <w:r>
        <w:rPr>
          <w:lang w:val="en-GB"/>
        </w:rPr>
        <w:t xml:space="preserve">the CEO and Chairwoman of FPT Software </w:t>
      </w:r>
      <w:r w:rsidRPr="000C41E4">
        <w:rPr>
          <w:lang w:val="en-GB"/>
        </w:rPr>
        <w:t xml:space="preserve">for the management of personal data within </w:t>
      </w:r>
      <w:sdt>
        <w:sdtPr>
          <w:rPr>
            <w:lang w:val="en-GB"/>
          </w:rPr>
          <w:alias w:val="CompanyName"/>
          <w:tag w:val="CompanyName"/>
          <w:id w:val="-1433892789"/>
          <w:placeholder>
            <w:docPart w:val="8094CB7B7C653C409C359C8CEF72EBC7"/>
          </w:placeholder>
          <w:text/>
        </w:sdtPr>
        <w:sdtEndPr/>
        <w:sdtContent>
          <w:r>
            <w:rPr>
              <w:lang w:val="en-GB"/>
            </w:rPr>
            <w:t>FPT Software</w:t>
          </w:r>
        </w:sdtContent>
      </w:sdt>
      <w:r>
        <w:rPr>
          <w:lang w:val="en-GB"/>
        </w:rPr>
        <w:t xml:space="preserve">, </w:t>
      </w:r>
      <w:r w:rsidRPr="000C41E4">
        <w:rPr>
          <w:lang w:val="en-GB"/>
        </w:rPr>
        <w:t>must ensure that compliance with data protection legislation under the DPA, EU GDPR, any other data protection legislation and good practice can be demonstrated</w:t>
      </w:r>
      <w:r w:rsidR="00363911">
        <w:rPr>
          <w:lang w:val="en-GB"/>
        </w:rPr>
        <w:t xml:space="preserve"> (</w:t>
      </w:r>
      <w:r w:rsidR="00363911" w:rsidRPr="00363911">
        <w:rPr>
          <w:lang w:val="en-GB"/>
        </w:rPr>
        <w:t>Refer</w:t>
      </w:r>
      <w:r w:rsidR="00363911">
        <w:rPr>
          <w:lang w:val="en-GB"/>
        </w:rPr>
        <w:t>ence</w:t>
      </w:r>
      <w:r w:rsidR="00363911" w:rsidRPr="00363911">
        <w:rPr>
          <w:lang w:val="en-GB"/>
        </w:rPr>
        <w:t xml:space="preserve"> article 38 position of the DPO and relationship with the DPO</w:t>
      </w:r>
      <w:r w:rsidR="00363911">
        <w:rPr>
          <w:lang w:val="en-GB"/>
        </w:rPr>
        <w:t>).</w:t>
      </w:r>
    </w:p>
    <w:p w14:paraId="59913E00" w14:textId="6A177AF4" w:rsidR="003354EF" w:rsidRPr="005165C1" w:rsidRDefault="00363911" w:rsidP="00A01017">
      <w:pPr>
        <w:pStyle w:val="BodyText"/>
        <w:jc w:val="both"/>
        <w:rPr>
          <w:lang w:val="en-GB"/>
        </w:rPr>
      </w:pPr>
      <w:r w:rsidRPr="00363911">
        <w:rPr>
          <w:lang w:val="en-GB"/>
        </w:rPr>
        <w:t>W</w:t>
      </w:r>
      <w:r w:rsidRPr="00363911">
        <w:t>P</w:t>
      </w:r>
      <w:r w:rsidRPr="00363911">
        <w:rPr>
          <w:lang w:val="en-GB"/>
        </w:rPr>
        <w:t xml:space="preserve">29 guidance confirms that </w:t>
      </w:r>
      <w:r>
        <w:rPr>
          <w:lang w:val="en-GB"/>
        </w:rPr>
        <w:t xml:space="preserve">the </w:t>
      </w:r>
      <w:r w:rsidRPr="00363911">
        <w:rPr>
          <w:lang w:val="en-GB"/>
        </w:rPr>
        <w:t>DP</w:t>
      </w:r>
      <w:r w:rsidRPr="00363911">
        <w:t>O</w:t>
      </w:r>
      <w:r>
        <w:t xml:space="preserve"> is </w:t>
      </w:r>
      <w:r w:rsidRPr="00363911">
        <w:t>not personally responsible in case of non-compliance with the GDPR. The GDPR makes it clear that it is the controller or the processor who is required to ensure and to be able to demonstrate that the processing is performed in accordance with its provisions (Article 24(1). Data protection compliance is a responsibility of the controller or the processor.</w:t>
      </w:r>
      <w:r w:rsidRPr="00363911">
        <w:rPr>
          <w:lang w:val="en-GB"/>
        </w:rPr>
        <w:t xml:space="preserve"> </w:t>
      </w:r>
      <w:r>
        <w:rPr>
          <w:lang w:val="en-GB"/>
        </w:rPr>
        <w:t xml:space="preserve">The </w:t>
      </w:r>
      <w:r w:rsidRPr="00363911">
        <w:rPr>
          <w:lang w:val="en-GB"/>
        </w:rPr>
        <w:t>corporate board of directors is ultimately responsible.</w:t>
      </w:r>
    </w:p>
    <w:p w14:paraId="266649DE" w14:textId="3CDFA05A" w:rsidR="005165C1" w:rsidRDefault="005165C1" w:rsidP="006F32F5">
      <w:pPr>
        <w:pStyle w:val="Heading2"/>
        <w:numPr>
          <w:ilvl w:val="0"/>
          <w:numId w:val="0"/>
        </w:numPr>
        <w:ind w:left="576" w:hanging="576"/>
        <w:jc w:val="both"/>
        <w:rPr>
          <w:rFonts w:cs="Arial"/>
          <w:color w:val="000000"/>
        </w:rPr>
      </w:pPr>
      <w:bookmarkStart w:id="10" w:name="_Toc118462206"/>
      <w:r>
        <w:rPr>
          <w:rFonts w:cs="Arial"/>
          <w:color w:val="000000"/>
        </w:rPr>
        <w:t>2.1</w:t>
      </w:r>
      <w:r>
        <w:rPr>
          <w:rFonts w:cs="Arial"/>
          <w:color w:val="000000"/>
        </w:rPr>
        <w:tab/>
        <w:t xml:space="preserve"> Board Member Responsible for Data Protection</w:t>
      </w:r>
      <w:bookmarkEnd w:id="10"/>
    </w:p>
    <w:p w14:paraId="52274967" w14:textId="16966517" w:rsidR="005165C1" w:rsidRPr="005165C1" w:rsidRDefault="005165C1" w:rsidP="006F32F5">
      <w:pPr>
        <w:jc w:val="both"/>
        <w:rPr>
          <w:rFonts w:cs="Arial"/>
          <w:color w:val="000000"/>
          <w:lang w:val="en-GB"/>
        </w:rPr>
      </w:pPr>
      <w:r>
        <w:rPr>
          <w:rFonts w:cs="Arial"/>
          <w:color w:val="000000"/>
          <w:lang w:val="en-GB"/>
        </w:rPr>
        <w:t>D</w:t>
      </w:r>
      <w:r w:rsidRPr="005165C1">
        <w:rPr>
          <w:rFonts w:cs="Arial"/>
          <w:color w:val="000000"/>
          <w:lang w:val="en-GB"/>
        </w:rPr>
        <w:t>etailed job description</w:t>
      </w:r>
      <w:r>
        <w:rPr>
          <w:rFonts w:cs="Arial"/>
          <w:color w:val="000000"/>
          <w:lang w:val="en-GB"/>
        </w:rPr>
        <w:t xml:space="preserve"> of the </w:t>
      </w:r>
      <w:r w:rsidRPr="005165C1">
        <w:rPr>
          <w:rFonts w:cs="Arial"/>
          <w:color w:val="000000"/>
          <w:lang w:val="en-GB"/>
        </w:rPr>
        <w:t xml:space="preserve">designated </w:t>
      </w:r>
      <w:r>
        <w:rPr>
          <w:rFonts w:cs="Arial"/>
          <w:color w:val="000000"/>
          <w:lang w:val="en-GB"/>
        </w:rPr>
        <w:t xml:space="preserve">Board Member </w:t>
      </w:r>
      <w:r w:rsidRPr="005165C1">
        <w:rPr>
          <w:rFonts w:cs="Arial"/>
          <w:color w:val="000000"/>
          <w:lang w:val="en-GB"/>
        </w:rPr>
        <w:t xml:space="preserve">responsible for managing </w:t>
      </w:r>
      <w:r>
        <w:rPr>
          <w:rFonts w:cs="Arial"/>
          <w:color w:val="000000"/>
          <w:lang w:val="en-GB"/>
        </w:rPr>
        <w:t xml:space="preserve">GDPR </w:t>
      </w:r>
      <w:r w:rsidRPr="005165C1">
        <w:rPr>
          <w:rFonts w:cs="Arial"/>
          <w:color w:val="000000"/>
          <w:lang w:val="en-GB"/>
        </w:rPr>
        <w:t>compliance with</w:t>
      </w:r>
      <w:r>
        <w:rPr>
          <w:rFonts w:cs="Arial"/>
          <w:color w:val="000000"/>
          <w:lang w:val="en-GB"/>
        </w:rPr>
        <w:t>in</w:t>
      </w:r>
      <w:r w:rsidRPr="005165C1">
        <w:rPr>
          <w:rFonts w:cs="Arial"/>
          <w:color w:val="000000"/>
          <w:lang w:val="en-GB"/>
        </w:rPr>
        <w:t xml:space="preserve"> </w:t>
      </w:r>
      <w:sdt>
        <w:sdtPr>
          <w:rPr>
            <w:rFonts w:cs="Arial"/>
            <w:color w:val="000000"/>
            <w:lang w:val="en-GB"/>
          </w:rPr>
          <w:alias w:val="CompanyName"/>
          <w:tag w:val="CompanyName"/>
          <w:id w:val="-199782065"/>
          <w:placeholder>
            <w:docPart w:val="BBF8DD1720A09F4EBDDD2EC3CD80FF23"/>
          </w:placeholder>
          <w:text/>
        </w:sdtPr>
        <w:sdtEndPr/>
        <w:sdtContent>
          <w:r>
            <w:rPr>
              <w:rFonts w:cs="Arial"/>
              <w:color w:val="000000"/>
              <w:lang w:val="en-GB"/>
            </w:rPr>
            <w:t xml:space="preserve">FPT Software </w:t>
          </w:r>
        </w:sdtContent>
      </w:sdt>
      <w:r w:rsidRPr="005165C1">
        <w:rPr>
          <w:rFonts w:cs="Arial"/>
          <w:color w:val="000000"/>
          <w:lang w:val="en-GB"/>
        </w:rPr>
        <w:t xml:space="preserve">. </w:t>
      </w:r>
    </w:p>
    <w:p w14:paraId="3B86C909" w14:textId="69A5A7DA" w:rsidR="005165C1" w:rsidRPr="005165C1" w:rsidRDefault="005165C1" w:rsidP="006F32F5">
      <w:pPr>
        <w:jc w:val="both"/>
        <w:rPr>
          <w:rFonts w:cs="Arial"/>
          <w:iCs/>
          <w:color w:val="000000" w:themeColor="text1"/>
          <w:lang w:val="en-GB"/>
        </w:rPr>
      </w:pPr>
      <w:r>
        <w:rPr>
          <w:rFonts w:cs="Arial"/>
          <w:iCs/>
          <w:color w:val="000000" w:themeColor="text1"/>
          <w:lang w:val="en-GB"/>
        </w:rPr>
        <w:t>R</w:t>
      </w:r>
      <w:r w:rsidRPr="005165C1">
        <w:rPr>
          <w:rFonts w:cs="Arial"/>
          <w:iCs/>
          <w:color w:val="000000" w:themeColor="text1"/>
          <w:lang w:val="en-GB"/>
        </w:rPr>
        <w:t xml:space="preserve">esponsibilities: </w:t>
      </w:r>
    </w:p>
    <w:p w14:paraId="3CDB2048" w14:textId="61578163" w:rsidR="005165C1" w:rsidRPr="005165C1" w:rsidRDefault="005165C1" w:rsidP="006F32F5">
      <w:pPr>
        <w:ind w:left="720"/>
        <w:jc w:val="both"/>
        <w:rPr>
          <w:rFonts w:cs="Arial"/>
          <w:iCs/>
          <w:color w:val="000000" w:themeColor="text1"/>
          <w:lang w:val="en-GB"/>
        </w:rPr>
      </w:pPr>
      <w:r>
        <w:rPr>
          <w:rFonts w:cs="Arial"/>
          <w:iCs/>
          <w:color w:val="000000" w:themeColor="text1"/>
          <w:lang w:val="en-GB"/>
        </w:rPr>
        <w:t>E</w:t>
      </w:r>
      <w:r w:rsidRPr="005165C1">
        <w:rPr>
          <w:rFonts w:cs="Arial"/>
          <w:iCs/>
          <w:color w:val="000000" w:themeColor="text1"/>
          <w:lang w:val="en-GB"/>
        </w:rPr>
        <w:t>nsuring implementation of the data protection polic</w:t>
      </w:r>
      <w:r>
        <w:rPr>
          <w:rFonts w:cs="Arial"/>
          <w:iCs/>
          <w:color w:val="000000" w:themeColor="text1"/>
          <w:lang w:val="en-GB"/>
        </w:rPr>
        <w:t>y (Personal Data Protection Handbook)</w:t>
      </w:r>
    </w:p>
    <w:p w14:paraId="3D7244F8" w14:textId="14B3C310" w:rsidR="005165C1" w:rsidRPr="005165C1" w:rsidRDefault="005165C1" w:rsidP="006F32F5">
      <w:pPr>
        <w:ind w:left="720"/>
        <w:jc w:val="both"/>
        <w:rPr>
          <w:rFonts w:cs="Arial"/>
          <w:iCs/>
          <w:color w:val="000000" w:themeColor="text1"/>
          <w:lang w:val="en-GB"/>
        </w:rPr>
      </w:pPr>
      <w:r>
        <w:rPr>
          <w:rFonts w:cs="Arial"/>
          <w:iCs/>
          <w:color w:val="000000" w:themeColor="text1"/>
          <w:lang w:val="en-GB"/>
        </w:rPr>
        <w:t>R</w:t>
      </w:r>
      <w:r w:rsidRPr="005165C1">
        <w:rPr>
          <w:rFonts w:cs="Arial"/>
          <w:iCs/>
          <w:color w:val="000000" w:themeColor="text1"/>
          <w:lang w:val="en-GB"/>
        </w:rPr>
        <w:t>eview of the data protection policy</w:t>
      </w:r>
    </w:p>
    <w:p w14:paraId="63CCBDA0" w14:textId="5B3F34DB" w:rsidR="005165C1" w:rsidRPr="005165C1" w:rsidRDefault="005165C1" w:rsidP="006F32F5">
      <w:pPr>
        <w:ind w:left="720"/>
        <w:jc w:val="both"/>
        <w:rPr>
          <w:rFonts w:cs="Arial"/>
          <w:iCs/>
          <w:color w:val="000000" w:themeColor="text1"/>
          <w:lang w:val="en-GB"/>
        </w:rPr>
      </w:pPr>
      <w:r>
        <w:rPr>
          <w:rFonts w:cs="Arial"/>
          <w:iCs/>
          <w:color w:val="000000" w:themeColor="text1"/>
          <w:lang w:val="en-GB"/>
        </w:rPr>
        <w:t>T</w:t>
      </w:r>
      <w:r w:rsidRPr="005165C1">
        <w:rPr>
          <w:rFonts w:cs="Arial"/>
          <w:iCs/>
          <w:color w:val="000000" w:themeColor="text1"/>
          <w:lang w:val="en-GB"/>
        </w:rPr>
        <w:t>raining and ongoing awareness as required by the data protection policy</w:t>
      </w:r>
    </w:p>
    <w:p w14:paraId="409393AB" w14:textId="2DFC7CB3" w:rsidR="005165C1" w:rsidRPr="005165C1" w:rsidRDefault="00A01017" w:rsidP="006F32F5">
      <w:pPr>
        <w:ind w:left="720"/>
        <w:jc w:val="both"/>
        <w:rPr>
          <w:rFonts w:cs="Arial"/>
          <w:iCs/>
          <w:color w:val="000000" w:themeColor="text1"/>
          <w:lang w:val="en-GB"/>
        </w:rPr>
      </w:pPr>
      <w:r>
        <w:rPr>
          <w:rFonts w:cs="Arial"/>
          <w:iCs/>
          <w:color w:val="000000" w:themeColor="text1"/>
          <w:lang w:val="en-GB"/>
        </w:rPr>
        <w:t>A</w:t>
      </w:r>
      <w:r w:rsidR="005165C1" w:rsidRPr="005165C1">
        <w:rPr>
          <w:rFonts w:cs="Arial"/>
          <w:iCs/>
          <w:color w:val="000000" w:themeColor="text1"/>
          <w:lang w:val="en-GB"/>
        </w:rPr>
        <w:t>pproval of procedures where personal data is processed:</w:t>
      </w:r>
    </w:p>
    <w:p w14:paraId="7894DA37" w14:textId="22DB97DE" w:rsidR="005165C1" w:rsidRPr="005165C1" w:rsidRDefault="005165C1" w:rsidP="006F32F5">
      <w:pPr>
        <w:ind w:left="1440"/>
        <w:jc w:val="both"/>
        <w:rPr>
          <w:rFonts w:cs="Arial"/>
          <w:iCs/>
          <w:color w:val="000000" w:themeColor="text1"/>
          <w:lang w:val="en-GB"/>
        </w:rPr>
      </w:pPr>
      <w:r>
        <w:rPr>
          <w:rFonts w:cs="Arial"/>
          <w:iCs/>
          <w:color w:val="000000" w:themeColor="text1"/>
          <w:lang w:val="en-GB"/>
        </w:rPr>
        <w:t>M</w:t>
      </w:r>
      <w:r w:rsidRPr="005165C1">
        <w:rPr>
          <w:rFonts w:cs="Arial"/>
          <w:iCs/>
          <w:color w:val="000000" w:themeColor="text1"/>
          <w:lang w:val="en-GB"/>
        </w:rPr>
        <w:t>anagement and communication of privacy notices</w:t>
      </w:r>
    </w:p>
    <w:p w14:paraId="01845AAF" w14:textId="5D5DDF1C" w:rsidR="005165C1" w:rsidRPr="005165C1" w:rsidRDefault="005165C1" w:rsidP="006F32F5">
      <w:pPr>
        <w:ind w:left="1440"/>
        <w:jc w:val="both"/>
        <w:rPr>
          <w:rFonts w:cs="Arial"/>
          <w:iCs/>
          <w:color w:val="000000" w:themeColor="text1"/>
          <w:lang w:val="en-GB"/>
        </w:rPr>
      </w:pPr>
      <w:r>
        <w:rPr>
          <w:rFonts w:cs="Arial"/>
          <w:iCs/>
          <w:color w:val="000000" w:themeColor="text1"/>
          <w:lang w:val="en-GB"/>
        </w:rPr>
        <w:t>H</w:t>
      </w:r>
      <w:r w:rsidRPr="005165C1">
        <w:rPr>
          <w:rFonts w:cs="Arial"/>
          <w:iCs/>
          <w:color w:val="000000" w:themeColor="text1"/>
          <w:lang w:val="en-GB"/>
        </w:rPr>
        <w:t>andling of requests from individuals, including requests for access, rectification, erasure, etc.</w:t>
      </w:r>
    </w:p>
    <w:p w14:paraId="4D9791DD" w14:textId="236B9050" w:rsidR="005165C1" w:rsidRPr="005165C1" w:rsidRDefault="00FA31A6" w:rsidP="006F32F5">
      <w:pPr>
        <w:ind w:left="1440"/>
        <w:jc w:val="both"/>
        <w:rPr>
          <w:rFonts w:cs="Arial"/>
          <w:iCs/>
          <w:color w:val="000000" w:themeColor="text1"/>
          <w:lang w:val="en-GB"/>
        </w:rPr>
      </w:pPr>
      <w:r>
        <w:rPr>
          <w:rFonts w:cs="Arial"/>
          <w:iCs/>
          <w:color w:val="000000" w:themeColor="text1"/>
          <w:lang w:val="en-GB"/>
        </w:rPr>
        <w:t>C</w:t>
      </w:r>
      <w:r w:rsidR="005165C1" w:rsidRPr="005165C1">
        <w:rPr>
          <w:rFonts w:cs="Arial"/>
          <w:iCs/>
          <w:color w:val="000000" w:themeColor="text1"/>
          <w:lang w:val="en-GB"/>
        </w:rPr>
        <w:t>ollection and handling of personal data</w:t>
      </w:r>
    </w:p>
    <w:p w14:paraId="4AC39E28" w14:textId="708C1105" w:rsidR="005165C1" w:rsidRPr="005165C1" w:rsidRDefault="00FA31A6" w:rsidP="006F32F5">
      <w:pPr>
        <w:ind w:left="1440"/>
        <w:jc w:val="both"/>
        <w:rPr>
          <w:rFonts w:cs="Arial"/>
          <w:iCs/>
          <w:color w:val="000000" w:themeColor="text1"/>
          <w:lang w:val="en-GB"/>
        </w:rPr>
      </w:pPr>
      <w:r>
        <w:rPr>
          <w:rFonts w:cs="Arial"/>
          <w:iCs/>
          <w:color w:val="000000" w:themeColor="text1"/>
          <w:lang w:val="en-GB"/>
        </w:rPr>
        <w:t>C</w:t>
      </w:r>
      <w:r w:rsidR="005165C1" w:rsidRPr="005165C1">
        <w:rPr>
          <w:rFonts w:cs="Arial"/>
          <w:iCs/>
          <w:color w:val="000000" w:themeColor="text1"/>
          <w:lang w:val="en-GB"/>
        </w:rPr>
        <w:t>omplaints</w:t>
      </w:r>
      <w:r>
        <w:rPr>
          <w:rFonts w:cs="Arial"/>
          <w:iCs/>
          <w:color w:val="000000" w:themeColor="text1"/>
          <w:lang w:val="en-GB"/>
        </w:rPr>
        <w:t xml:space="preserve"> and appeals</w:t>
      </w:r>
      <w:r w:rsidR="005165C1" w:rsidRPr="005165C1">
        <w:rPr>
          <w:rFonts w:cs="Arial"/>
          <w:iCs/>
          <w:color w:val="000000" w:themeColor="text1"/>
          <w:lang w:val="en-GB"/>
        </w:rPr>
        <w:t xml:space="preserve"> handling</w:t>
      </w:r>
    </w:p>
    <w:p w14:paraId="4D9745CA" w14:textId="2E638BCF" w:rsidR="005165C1" w:rsidRPr="005165C1" w:rsidRDefault="00FA31A6" w:rsidP="006F32F5">
      <w:pPr>
        <w:ind w:left="1440"/>
        <w:jc w:val="both"/>
        <w:rPr>
          <w:rFonts w:cs="Arial"/>
          <w:iCs/>
          <w:color w:val="000000" w:themeColor="text1"/>
          <w:lang w:val="en-GB"/>
        </w:rPr>
      </w:pPr>
      <w:r>
        <w:rPr>
          <w:rFonts w:cs="Arial"/>
          <w:iCs/>
          <w:color w:val="000000" w:themeColor="text1"/>
          <w:lang w:val="en-GB"/>
        </w:rPr>
        <w:t>M</w:t>
      </w:r>
      <w:r w:rsidR="005165C1" w:rsidRPr="005165C1">
        <w:rPr>
          <w:rFonts w:cs="Arial"/>
          <w:iCs/>
          <w:color w:val="000000" w:themeColor="text1"/>
          <w:lang w:val="en-GB"/>
        </w:rPr>
        <w:t xml:space="preserve">anagement of </w:t>
      </w:r>
      <w:r>
        <w:rPr>
          <w:rFonts w:cs="Arial"/>
          <w:iCs/>
          <w:color w:val="000000" w:themeColor="text1"/>
          <w:lang w:val="en-GB"/>
        </w:rPr>
        <w:t>data protection incidence</w:t>
      </w:r>
    </w:p>
    <w:p w14:paraId="3F5D2761" w14:textId="759253B1" w:rsidR="005165C1" w:rsidRPr="005165C1" w:rsidRDefault="00FA31A6" w:rsidP="006F32F5">
      <w:pPr>
        <w:ind w:left="1440"/>
        <w:jc w:val="both"/>
        <w:rPr>
          <w:rFonts w:cs="Arial"/>
          <w:iCs/>
          <w:color w:val="000000" w:themeColor="text1"/>
          <w:lang w:val="en-GB"/>
        </w:rPr>
      </w:pPr>
      <w:r>
        <w:rPr>
          <w:rFonts w:cs="Arial"/>
          <w:iCs/>
          <w:color w:val="000000" w:themeColor="text1"/>
          <w:lang w:val="en-GB"/>
        </w:rPr>
        <w:t>O</w:t>
      </w:r>
      <w:r w:rsidR="005165C1" w:rsidRPr="005165C1">
        <w:rPr>
          <w:rFonts w:cs="Arial"/>
          <w:iCs/>
          <w:color w:val="000000" w:themeColor="text1"/>
          <w:lang w:val="en-GB"/>
        </w:rPr>
        <w:t xml:space="preserve">utsourcing and </w:t>
      </w:r>
      <w:r w:rsidRPr="005165C1">
        <w:rPr>
          <w:rFonts w:cs="Arial"/>
          <w:iCs/>
          <w:color w:val="000000" w:themeColor="text1"/>
          <w:lang w:val="en-GB"/>
        </w:rPr>
        <w:t>offshoring</w:t>
      </w:r>
    </w:p>
    <w:p w14:paraId="73BC9BA3" w14:textId="79614D0F" w:rsidR="005165C1" w:rsidRPr="005165C1" w:rsidRDefault="00FA31A6" w:rsidP="006F32F5">
      <w:pPr>
        <w:ind w:left="720"/>
        <w:jc w:val="both"/>
        <w:rPr>
          <w:rFonts w:cs="Arial"/>
          <w:iCs/>
          <w:color w:val="000000" w:themeColor="text1"/>
          <w:lang w:val="en-GB"/>
        </w:rPr>
      </w:pPr>
      <w:r>
        <w:rPr>
          <w:rFonts w:cs="Arial"/>
          <w:iCs/>
          <w:color w:val="000000" w:themeColor="text1"/>
          <w:lang w:val="en-GB"/>
        </w:rPr>
        <w:t>L</w:t>
      </w:r>
      <w:r w:rsidR="005165C1" w:rsidRPr="005165C1">
        <w:rPr>
          <w:rFonts w:cs="Arial"/>
          <w:iCs/>
          <w:color w:val="000000" w:themeColor="text1"/>
          <w:lang w:val="en-GB"/>
        </w:rPr>
        <w:t xml:space="preserve">iaison with those responsible for risk management and security issues within </w:t>
      </w:r>
      <w:sdt>
        <w:sdtPr>
          <w:rPr>
            <w:rFonts w:cs="Arial"/>
            <w:iCs/>
            <w:color w:val="000000" w:themeColor="text1"/>
            <w:lang w:val="en-GB"/>
          </w:rPr>
          <w:alias w:val="CompanyName"/>
          <w:tag w:val="CompanyName"/>
          <w:id w:val="-1383866694"/>
          <w:placeholder>
            <w:docPart w:val="A97B34C2E8B36148AD667285C4B2FB5A"/>
          </w:placeholder>
          <w:text/>
        </w:sdtPr>
        <w:sdtEndPr/>
        <w:sdtContent>
          <w:r>
            <w:rPr>
              <w:rFonts w:cs="Arial"/>
              <w:iCs/>
              <w:color w:val="000000" w:themeColor="text1"/>
              <w:lang w:val="en-GB"/>
            </w:rPr>
            <w:t>FPT Software</w:t>
          </w:r>
        </w:sdtContent>
      </w:sdt>
    </w:p>
    <w:p w14:paraId="25ABAF88" w14:textId="2E7F9F89" w:rsidR="005165C1" w:rsidRPr="005165C1" w:rsidRDefault="00FA31A6" w:rsidP="006F32F5">
      <w:pPr>
        <w:ind w:left="720"/>
        <w:jc w:val="both"/>
        <w:rPr>
          <w:rFonts w:cs="Arial"/>
          <w:iCs/>
          <w:color w:val="000000" w:themeColor="text1"/>
          <w:lang w:val="en-GB"/>
        </w:rPr>
      </w:pPr>
      <w:r>
        <w:rPr>
          <w:rFonts w:cs="Arial"/>
          <w:iCs/>
          <w:color w:val="000000" w:themeColor="text1"/>
          <w:lang w:val="en-GB"/>
        </w:rPr>
        <w:t>P</w:t>
      </w:r>
      <w:r w:rsidR="005165C1" w:rsidRPr="005165C1">
        <w:rPr>
          <w:rFonts w:cs="Arial"/>
          <w:iCs/>
          <w:color w:val="000000" w:themeColor="text1"/>
          <w:lang w:val="en-GB"/>
        </w:rPr>
        <w:t>rovision of expert advice and guidance on legislative and regulatory data protection matters</w:t>
      </w:r>
    </w:p>
    <w:p w14:paraId="4679BCDD" w14:textId="32F3BB0C" w:rsidR="005165C1" w:rsidRPr="005165C1" w:rsidRDefault="00FA31A6" w:rsidP="006F32F5">
      <w:pPr>
        <w:ind w:left="720"/>
        <w:jc w:val="both"/>
        <w:rPr>
          <w:rFonts w:cs="Arial"/>
          <w:iCs/>
          <w:color w:val="000000" w:themeColor="text1"/>
          <w:lang w:val="en-GB"/>
        </w:rPr>
      </w:pPr>
      <w:r>
        <w:rPr>
          <w:rFonts w:cs="Arial"/>
          <w:iCs/>
          <w:color w:val="000000" w:themeColor="text1"/>
          <w:lang w:val="en-GB"/>
        </w:rPr>
        <w:t>I</w:t>
      </w:r>
      <w:r w:rsidR="005165C1" w:rsidRPr="005165C1">
        <w:rPr>
          <w:rFonts w:cs="Arial"/>
          <w:iCs/>
          <w:color w:val="000000" w:themeColor="text1"/>
          <w:lang w:val="en-GB"/>
        </w:rPr>
        <w:t>nterpretation and application of the various exemptions applicable to the processing of personal data</w:t>
      </w:r>
    </w:p>
    <w:p w14:paraId="474F3690" w14:textId="1349FDDF" w:rsidR="005165C1" w:rsidRPr="005165C1" w:rsidRDefault="00FA31A6" w:rsidP="006F32F5">
      <w:pPr>
        <w:ind w:left="720"/>
        <w:jc w:val="both"/>
        <w:rPr>
          <w:rFonts w:cs="Arial"/>
          <w:iCs/>
          <w:color w:val="000000" w:themeColor="text1"/>
          <w:lang w:val="en-GB"/>
        </w:rPr>
      </w:pPr>
      <w:r>
        <w:rPr>
          <w:rFonts w:cs="Arial"/>
          <w:iCs/>
          <w:color w:val="000000" w:themeColor="text1"/>
          <w:lang w:val="en-GB"/>
        </w:rPr>
        <w:t>A</w:t>
      </w:r>
      <w:r w:rsidR="005165C1" w:rsidRPr="005165C1">
        <w:rPr>
          <w:rFonts w:cs="Arial"/>
          <w:iCs/>
          <w:color w:val="000000" w:themeColor="text1"/>
          <w:lang w:val="en-GB"/>
        </w:rPr>
        <w:t>dvise and inform on the data protection impact assessment and monitor performance against the requirements of the EU GDPR</w:t>
      </w:r>
      <w:r>
        <w:rPr>
          <w:rFonts w:cs="Arial"/>
          <w:iCs/>
          <w:color w:val="000000" w:themeColor="text1"/>
          <w:lang w:val="en-GB"/>
        </w:rPr>
        <w:t xml:space="preserve"> and other national/international data protection regulation</w:t>
      </w:r>
    </w:p>
    <w:p w14:paraId="44ED08B4" w14:textId="7FDA384C" w:rsidR="005165C1" w:rsidRPr="005165C1" w:rsidRDefault="00FA31A6" w:rsidP="00BA2CAF">
      <w:pPr>
        <w:ind w:left="720"/>
        <w:jc w:val="both"/>
        <w:rPr>
          <w:rFonts w:cs="Arial"/>
          <w:iCs/>
          <w:color w:val="000000" w:themeColor="text1"/>
          <w:lang w:val="en-GB"/>
        </w:rPr>
      </w:pPr>
      <w:r>
        <w:rPr>
          <w:rFonts w:cs="Arial"/>
          <w:iCs/>
          <w:color w:val="000000" w:themeColor="text1"/>
          <w:lang w:val="en-GB"/>
        </w:rPr>
        <w:t>P</w:t>
      </w:r>
      <w:r w:rsidR="005165C1" w:rsidRPr="005165C1">
        <w:rPr>
          <w:rFonts w:cs="Arial"/>
          <w:iCs/>
          <w:color w:val="000000" w:themeColor="text1"/>
          <w:lang w:val="en-GB"/>
        </w:rPr>
        <w:t>rovision of advice in relation to data sharing projects</w:t>
      </w:r>
    </w:p>
    <w:p w14:paraId="5473CBCA" w14:textId="272BED14" w:rsidR="005165C1" w:rsidRPr="005165C1" w:rsidRDefault="00FA31A6" w:rsidP="005F1202">
      <w:pPr>
        <w:ind w:left="720"/>
        <w:jc w:val="both"/>
        <w:rPr>
          <w:rFonts w:cs="Arial"/>
          <w:iCs/>
          <w:color w:val="000000" w:themeColor="text1"/>
          <w:lang w:val="en-GB"/>
        </w:rPr>
      </w:pPr>
      <w:r>
        <w:rPr>
          <w:rFonts w:cs="Arial"/>
          <w:iCs/>
          <w:color w:val="000000" w:themeColor="text1"/>
          <w:lang w:val="en-GB"/>
        </w:rPr>
        <w:lastRenderedPageBreak/>
        <w:t>E</w:t>
      </w:r>
      <w:r w:rsidR="005165C1" w:rsidRPr="005165C1">
        <w:rPr>
          <w:rFonts w:cs="Arial"/>
          <w:iCs/>
          <w:color w:val="000000" w:themeColor="text1"/>
          <w:lang w:val="en-GB"/>
        </w:rPr>
        <w:t xml:space="preserve">nsuring </w:t>
      </w:r>
      <w:sdt>
        <w:sdtPr>
          <w:rPr>
            <w:rFonts w:cs="Arial"/>
            <w:iCs/>
            <w:color w:val="000000" w:themeColor="text1"/>
            <w:lang w:val="en-GB"/>
          </w:rPr>
          <w:alias w:val="CompanyName"/>
          <w:tag w:val="CompanyName"/>
          <w:id w:val="1863235949"/>
          <w:placeholder>
            <w:docPart w:val="E6CCFAAAB553934FA06463B084908F8F"/>
          </w:placeholder>
          <w:text/>
        </w:sdtPr>
        <w:sdtEndPr/>
        <w:sdtContent>
          <w:r>
            <w:rPr>
              <w:rFonts w:cs="Arial"/>
              <w:iCs/>
              <w:color w:val="000000" w:themeColor="text1"/>
              <w:lang w:val="en-GB"/>
            </w:rPr>
            <w:t>FPT Software</w:t>
          </w:r>
        </w:sdtContent>
      </w:sdt>
      <w:r w:rsidR="005165C1" w:rsidRPr="005165C1">
        <w:rPr>
          <w:rFonts w:cs="Arial"/>
          <w:iCs/>
          <w:color w:val="000000" w:themeColor="text1"/>
          <w:lang w:val="en-GB"/>
        </w:rPr>
        <w:t xml:space="preserve"> has access to legislative updates and appropriate guidance related to data protection legislation</w:t>
      </w:r>
    </w:p>
    <w:p w14:paraId="795DDB85" w14:textId="23FAEE3A" w:rsidR="005165C1" w:rsidRPr="005165C1" w:rsidRDefault="00FA31A6" w:rsidP="005F1202">
      <w:pPr>
        <w:ind w:left="720"/>
        <w:jc w:val="both"/>
        <w:rPr>
          <w:rFonts w:cs="Arial"/>
          <w:iCs/>
          <w:color w:val="000000" w:themeColor="text1"/>
          <w:lang w:val="en-GB"/>
        </w:rPr>
      </w:pPr>
      <w:r>
        <w:rPr>
          <w:rFonts w:cs="Arial"/>
          <w:iCs/>
          <w:color w:val="000000" w:themeColor="text1"/>
          <w:lang w:val="en-GB"/>
        </w:rPr>
        <w:t>C</w:t>
      </w:r>
      <w:r w:rsidR="005165C1" w:rsidRPr="005165C1">
        <w:rPr>
          <w:rFonts w:cs="Arial"/>
          <w:iCs/>
          <w:color w:val="000000" w:themeColor="text1"/>
          <w:lang w:val="en-GB"/>
        </w:rPr>
        <w:t xml:space="preserve">ontinually checking that </w:t>
      </w:r>
      <w:sdt>
        <w:sdtPr>
          <w:rPr>
            <w:rFonts w:cs="Arial"/>
            <w:iCs/>
            <w:color w:val="000000" w:themeColor="text1"/>
            <w:lang w:val="en-GB"/>
          </w:rPr>
          <w:alias w:val="CompanyName"/>
          <w:tag w:val="CompanyName"/>
          <w:id w:val="-1749407595"/>
          <w:placeholder>
            <w:docPart w:val="15981B5451DD00408E3A0BF4DE3A7298"/>
          </w:placeholder>
          <w:text/>
        </w:sdtPr>
        <w:sdtEndPr/>
        <w:sdtContent>
          <w:r>
            <w:rPr>
              <w:rFonts w:cs="Arial"/>
              <w:iCs/>
              <w:color w:val="000000" w:themeColor="text1"/>
              <w:lang w:val="en-GB"/>
            </w:rPr>
            <w:t>FPT Software</w:t>
          </w:r>
        </w:sdtContent>
      </w:sdt>
      <w:r w:rsidR="005165C1" w:rsidRPr="005165C1">
        <w:rPr>
          <w:rFonts w:cs="Arial"/>
          <w:iCs/>
          <w:color w:val="000000" w:themeColor="text1"/>
          <w:lang w:val="en-GB"/>
        </w:rPr>
        <w:t>’s data protection regime reflects changes in legislation, practice and technology</w:t>
      </w:r>
    </w:p>
    <w:p w14:paraId="20BB8709" w14:textId="25AB939E" w:rsidR="005165C1" w:rsidRDefault="00FA31A6" w:rsidP="005F1202">
      <w:pPr>
        <w:ind w:left="720"/>
        <w:jc w:val="both"/>
        <w:rPr>
          <w:rFonts w:cs="Arial"/>
          <w:iCs/>
          <w:color w:val="000000" w:themeColor="text1"/>
          <w:lang w:val="en-GB"/>
        </w:rPr>
      </w:pPr>
      <w:r>
        <w:rPr>
          <w:rFonts w:cs="Arial"/>
          <w:iCs/>
          <w:color w:val="000000" w:themeColor="text1"/>
          <w:lang w:val="en-GB"/>
        </w:rPr>
        <w:t>C</w:t>
      </w:r>
      <w:r w:rsidR="005165C1" w:rsidRPr="005165C1">
        <w:rPr>
          <w:rFonts w:cs="Arial"/>
          <w:iCs/>
          <w:color w:val="000000" w:themeColor="text1"/>
          <w:lang w:val="en-GB"/>
        </w:rPr>
        <w:t xml:space="preserve">ompleting, </w:t>
      </w:r>
      <w:r w:rsidRPr="005165C1">
        <w:rPr>
          <w:rFonts w:cs="Arial"/>
          <w:iCs/>
          <w:color w:val="000000" w:themeColor="text1"/>
          <w:lang w:val="en-GB"/>
        </w:rPr>
        <w:t>submitting,</w:t>
      </w:r>
      <w:r w:rsidR="005165C1" w:rsidRPr="005165C1">
        <w:rPr>
          <w:rFonts w:cs="Arial"/>
          <w:iCs/>
          <w:color w:val="000000" w:themeColor="text1"/>
          <w:lang w:val="en-GB"/>
        </w:rPr>
        <w:t xml:space="preserve"> and managing notifications to the supervisory authority where required under the GDPR and other data protection regulations</w:t>
      </w:r>
    </w:p>
    <w:p w14:paraId="245C020E" w14:textId="06E9FE0D" w:rsidR="002B3235" w:rsidRDefault="00FA31A6" w:rsidP="005F1202">
      <w:pPr>
        <w:ind w:left="720"/>
        <w:jc w:val="both"/>
        <w:rPr>
          <w:rFonts w:cs="Arial"/>
          <w:iCs/>
          <w:color w:val="000000" w:themeColor="text1"/>
          <w:lang w:val="en-GB"/>
        </w:rPr>
      </w:pPr>
      <w:r>
        <w:rPr>
          <w:rFonts w:cs="Arial"/>
          <w:iCs/>
          <w:color w:val="000000" w:themeColor="text1"/>
          <w:lang w:val="en-GB"/>
        </w:rPr>
        <w:t>I</w:t>
      </w:r>
      <w:r w:rsidRPr="00FA31A6">
        <w:rPr>
          <w:rFonts w:cs="Arial"/>
          <w:iCs/>
          <w:color w:val="000000" w:themeColor="text1"/>
          <w:lang w:val="en-GB"/>
        </w:rPr>
        <w:t xml:space="preserve">mplementing, as appropriate, the practices related to the processing of personal data outlined in any mandatory or advisory sectoral codes that apply to </w:t>
      </w:r>
      <w:r>
        <w:rPr>
          <w:rFonts w:cs="Arial"/>
          <w:iCs/>
          <w:color w:val="000000" w:themeColor="text1"/>
          <w:lang w:val="en-GB"/>
        </w:rPr>
        <w:t>FPT Software</w:t>
      </w:r>
      <w:r w:rsidR="00D55ABE">
        <w:rPr>
          <w:rFonts w:cs="Arial"/>
          <w:iCs/>
          <w:color w:val="000000" w:themeColor="text1"/>
          <w:lang w:val="en-GB"/>
        </w:rPr>
        <w:t xml:space="preserve">. </w:t>
      </w:r>
    </w:p>
    <w:p w14:paraId="559AF22E" w14:textId="0554D7A1" w:rsidR="00C2282A" w:rsidRPr="0008015B" w:rsidRDefault="00FA31A6" w:rsidP="005F1202">
      <w:pPr>
        <w:pStyle w:val="Heading2"/>
        <w:numPr>
          <w:ilvl w:val="0"/>
          <w:numId w:val="0"/>
        </w:numPr>
        <w:ind w:left="576" w:hanging="576"/>
        <w:jc w:val="both"/>
        <w:rPr>
          <w:rFonts w:cs="Arial"/>
          <w:color w:val="000000"/>
        </w:rPr>
      </w:pPr>
      <w:bookmarkStart w:id="11" w:name="_Toc118462207"/>
      <w:r>
        <w:rPr>
          <w:rFonts w:cs="Arial"/>
          <w:color w:val="000000"/>
        </w:rPr>
        <w:t>2.2</w:t>
      </w:r>
      <w:r>
        <w:rPr>
          <w:rFonts w:cs="Arial"/>
          <w:color w:val="000000"/>
        </w:rPr>
        <w:tab/>
        <w:t xml:space="preserve"> Data Protection Representatives (FSU, OB, Delivery Center)</w:t>
      </w:r>
      <w:r w:rsidR="002768DF">
        <w:rPr>
          <w:rFonts w:cs="Arial"/>
          <w:color w:val="000000"/>
        </w:rPr>
        <w:t>/Coordinators</w:t>
      </w:r>
      <w:bookmarkEnd w:id="11"/>
    </w:p>
    <w:p w14:paraId="1C4F2053" w14:textId="6A4ABE58" w:rsidR="00C2282A" w:rsidRPr="00C2282A" w:rsidRDefault="00C2282A" w:rsidP="005F1202">
      <w:pPr>
        <w:pStyle w:val="BodyText"/>
        <w:jc w:val="both"/>
        <w:rPr>
          <w:rFonts w:cs="Arial"/>
          <w:lang w:val="en-GB"/>
        </w:rPr>
      </w:pPr>
      <w:r>
        <w:rPr>
          <w:rFonts w:cs="Arial"/>
          <w:lang w:val="en-GB"/>
        </w:rPr>
        <w:t>D</w:t>
      </w:r>
      <w:r w:rsidRPr="00C2282A">
        <w:rPr>
          <w:rFonts w:cs="Arial"/>
          <w:lang w:val="en-GB"/>
        </w:rPr>
        <w:t>etailed job description</w:t>
      </w:r>
      <w:r>
        <w:rPr>
          <w:rFonts w:cs="Arial"/>
          <w:lang w:val="en-GB"/>
        </w:rPr>
        <w:t xml:space="preserve"> of </w:t>
      </w:r>
      <w:r w:rsidRPr="00C2282A">
        <w:rPr>
          <w:rFonts w:cs="Arial"/>
          <w:lang w:val="en-GB"/>
        </w:rPr>
        <w:t>designated data protection representative</w:t>
      </w:r>
      <w:r w:rsidR="0008015B">
        <w:rPr>
          <w:rFonts w:cs="Arial"/>
          <w:lang w:val="en-GB"/>
        </w:rPr>
        <w:t xml:space="preserve"> approved GDPO and</w:t>
      </w:r>
      <w:r w:rsidR="0008015B" w:rsidRPr="0008015B">
        <w:rPr>
          <w:lang w:val="en-GB"/>
        </w:rPr>
        <w:t xml:space="preserve"> </w:t>
      </w:r>
      <w:r w:rsidR="0008015B">
        <w:rPr>
          <w:lang w:val="en-GB"/>
        </w:rPr>
        <w:t>board</w:t>
      </w:r>
      <w:r w:rsidR="0008015B" w:rsidRPr="000C41E4">
        <w:rPr>
          <w:lang w:val="en-GB"/>
        </w:rPr>
        <w:t xml:space="preserve"> member</w:t>
      </w:r>
      <w:r w:rsidR="0008015B">
        <w:rPr>
          <w:lang w:val="en-GB"/>
        </w:rPr>
        <w:t xml:space="preserve"> responsible for DP</w:t>
      </w:r>
      <w:r w:rsidRPr="00C2282A">
        <w:rPr>
          <w:rFonts w:cs="Arial"/>
          <w:lang w:val="en-GB"/>
        </w:rPr>
        <w:t>:</w:t>
      </w:r>
    </w:p>
    <w:p w14:paraId="2297CEB8" w14:textId="5309FD1C" w:rsidR="00C2282A" w:rsidRPr="00C2282A" w:rsidRDefault="0008015B" w:rsidP="005F1202">
      <w:pPr>
        <w:ind w:left="720"/>
        <w:jc w:val="both"/>
        <w:rPr>
          <w:rFonts w:cs="Arial"/>
          <w:iCs/>
          <w:color w:val="000000" w:themeColor="text1"/>
          <w:lang w:val="en-GB"/>
        </w:rPr>
      </w:pPr>
      <w:r>
        <w:rPr>
          <w:rFonts w:cs="Arial"/>
          <w:lang w:val="en-GB"/>
        </w:rPr>
        <w:t>R</w:t>
      </w:r>
      <w:r w:rsidR="00C2282A" w:rsidRPr="00C2282A">
        <w:rPr>
          <w:rFonts w:cs="Arial"/>
          <w:lang w:val="en-GB"/>
        </w:rPr>
        <w:t>epresent departments</w:t>
      </w:r>
      <w:r>
        <w:rPr>
          <w:rFonts w:cs="Arial"/>
          <w:lang w:val="en-GB"/>
        </w:rPr>
        <w:t xml:space="preserve">, FSU, OB, Delivery </w:t>
      </w:r>
      <w:r w:rsidR="00E03C65">
        <w:rPr>
          <w:rFonts w:cs="Arial"/>
          <w:lang w:val="en-GB"/>
        </w:rPr>
        <w:t>Centre</w:t>
      </w:r>
      <w:r>
        <w:rPr>
          <w:rFonts w:cs="Arial"/>
          <w:lang w:val="en-GB"/>
        </w:rPr>
        <w:t xml:space="preserve">, </w:t>
      </w:r>
      <w:r w:rsidR="002768DF">
        <w:rPr>
          <w:rFonts w:cs="Arial"/>
          <w:lang w:val="en-GB"/>
        </w:rPr>
        <w:t xml:space="preserve">LRC, </w:t>
      </w:r>
      <w:r>
        <w:rPr>
          <w:rFonts w:cs="Arial"/>
          <w:lang w:val="en-GB"/>
        </w:rPr>
        <w:t>legal entity</w:t>
      </w:r>
      <w:r w:rsidR="00C2282A" w:rsidRPr="00C2282A">
        <w:rPr>
          <w:rFonts w:cs="Arial"/>
          <w:lang w:val="en-GB"/>
        </w:rPr>
        <w:t xml:space="preserve"> </w:t>
      </w:r>
      <w:r>
        <w:rPr>
          <w:rFonts w:cs="Arial"/>
          <w:lang w:val="en-GB"/>
        </w:rPr>
        <w:t xml:space="preserve">or subsidiary </w:t>
      </w:r>
      <w:r w:rsidR="00C2282A" w:rsidRPr="00C2282A">
        <w:rPr>
          <w:rFonts w:cs="Arial"/>
          <w:lang w:val="en-GB"/>
        </w:rPr>
        <w:t xml:space="preserve">that are </w:t>
      </w:r>
      <w:r>
        <w:rPr>
          <w:rFonts w:cs="Arial"/>
          <w:lang w:val="en-GB"/>
        </w:rPr>
        <w:t xml:space="preserve">processing personal data and must </w:t>
      </w:r>
      <w:r w:rsidR="00C2282A" w:rsidRPr="00C2282A">
        <w:rPr>
          <w:rFonts w:cs="Arial"/>
          <w:lang w:val="en-GB"/>
        </w:rPr>
        <w:t>manag</w:t>
      </w:r>
      <w:r>
        <w:rPr>
          <w:rFonts w:cs="Arial"/>
          <w:lang w:val="en-GB"/>
        </w:rPr>
        <w:t xml:space="preserve">e the compliance with the Personal Data Protection Handbook, </w:t>
      </w:r>
      <w:r w:rsidRPr="005165C1">
        <w:rPr>
          <w:rFonts w:cs="Arial"/>
          <w:iCs/>
          <w:color w:val="000000" w:themeColor="text1"/>
          <w:lang w:val="en-GB"/>
        </w:rPr>
        <w:t>GDPR</w:t>
      </w:r>
      <w:r>
        <w:rPr>
          <w:rFonts w:cs="Arial"/>
          <w:iCs/>
          <w:color w:val="000000" w:themeColor="text1"/>
          <w:lang w:val="en-GB"/>
        </w:rPr>
        <w:t xml:space="preserve"> and other national/international data protection regulation</w:t>
      </w:r>
    </w:p>
    <w:p w14:paraId="34E23605" w14:textId="093F226F" w:rsidR="00C2282A" w:rsidRPr="00C2282A" w:rsidRDefault="0008015B" w:rsidP="005F1202">
      <w:pPr>
        <w:pStyle w:val="BodyText"/>
        <w:ind w:left="720"/>
        <w:jc w:val="both"/>
        <w:rPr>
          <w:rFonts w:cs="Arial"/>
          <w:lang w:val="en-GB"/>
        </w:rPr>
      </w:pPr>
      <w:r>
        <w:rPr>
          <w:rFonts w:cs="Arial"/>
          <w:lang w:val="en-GB"/>
        </w:rPr>
        <w:t>M</w:t>
      </w:r>
      <w:r w:rsidR="00C2282A" w:rsidRPr="00C2282A">
        <w:rPr>
          <w:rFonts w:cs="Arial"/>
          <w:lang w:val="en-GB"/>
        </w:rPr>
        <w:t xml:space="preserve">ember of </w:t>
      </w:r>
      <w:r>
        <w:rPr>
          <w:rFonts w:cs="Arial"/>
          <w:lang w:val="en-GB"/>
        </w:rPr>
        <w:t>the DPO Group</w:t>
      </w:r>
    </w:p>
    <w:p w14:paraId="653F3B1A" w14:textId="4C32C69F" w:rsidR="00C2282A" w:rsidRDefault="0008015B" w:rsidP="005F1202">
      <w:pPr>
        <w:pStyle w:val="BodyText"/>
        <w:ind w:left="720"/>
        <w:jc w:val="both"/>
        <w:rPr>
          <w:rFonts w:cs="Arial"/>
          <w:lang w:val="en-GB"/>
        </w:rPr>
      </w:pPr>
      <w:r>
        <w:rPr>
          <w:rFonts w:cs="Arial"/>
          <w:lang w:val="en-GB"/>
        </w:rPr>
        <w:t>A</w:t>
      </w:r>
      <w:r w:rsidR="00C2282A" w:rsidRPr="00C2282A">
        <w:rPr>
          <w:rFonts w:cs="Arial"/>
          <w:lang w:val="en-GB"/>
        </w:rPr>
        <w:t xml:space="preserve">ssist </w:t>
      </w:r>
      <w:r>
        <w:rPr>
          <w:rFonts w:cs="Arial"/>
          <w:lang w:val="en-GB"/>
        </w:rPr>
        <w:t>GDPO and</w:t>
      </w:r>
      <w:r w:rsidRPr="0008015B">
        <w:rPr>
          <w:lang w:val="en-GB"/>
        </w:rPr>
        <w:t xml:space="preserve"> </w:t>
      </w:r>
      <w:r>
        <w:rPr>
          <w:lang w:val="en-GB"/>
        </w:rPr>
        <w:t>board</w:t>
      </w:r>
      <w:r w:rsidRPr="000C41E4">
        <w:rPr>
          <w:lang w:val="en-GB"/>
        </w:rPr>
        <w:t xml:space="preserve"> member</w:t>
      </w:r>
      <w:r>
        <w:rPr>
          <w:lang w:val="en-GB"/>
        </w:rPr>
        <w:t xml:space="preserve"> responsible</w:t>
      </w:r>
      <w:r w:rsidR="00C2282A" w:rsidRPr="00C2282A">
        <w:rPr>
          <w:rFonts w:cs="Arial"/>
          <w:lang w:val="en-GB"/>
        </w:rPr>
        <w:t xml:space="preserve"> </w:t>
      </w:r>
      <w:r>
        <w:rPr>
          <w:rFonts w:cs="Arial"/>
          <w:lang w:val="en-GB"/>
        </w:rPr>
        <w:t xml:space="preserve">for DP </w:t>
      </w:r>
      <w:r w:rsidR="00C2282A" w:rsidRPr="00C2282A">
        <w:rPr>
          <w:rFonts w:cs="Arial"/>
          <w:lang w:val="en-GB"/>
        </w:rPr>
        <w:t>with day-to-day responsibility for compliance with the data protection policy, for example: data inventory, staff training and staff access, privacy notices, privacy impact assessments, etc.</w:t>
      </w:r>
    </w:p>
    <w:p w14:paraId="351308EA" w14:textId="5D226FB8" w:rsidR="009149A3" w:rsidRPr="0067232E" w:rsidRDefault="00FA2FC3" w:rsidP="005F1202">
      <w:pPr>
        <w:pStyle w:val="BodyText"/>
        <w:tabs>
          <w:tab w:val="left" w:pos="1418"/>
        </w:tabs>
        <w:ind w:left="1418" w:hanging="1418"/>
        <w:jc w:val="both"/>
        <w:rPr>
          <w:rFonts w:cs="Arial"/>
          <w:b/>
          <w:bCs/>
          <w:lang w:val="en-GB"/>
        </w:rPr>
      </w:pPr>
      <w:r w:rsidRPr="0067232E">
        <w:rPr>
          <w:rFonts w:cs="Arial"/>
          <w:b/>
          <w:bCs/>
          <w:lang w:val="en-GB"/>
        </w:rPr>
        <w:tab/>
      </w:r>
      <w:r w:rsidRPr="0067232E">
        <w:rPr>
          <w:rFonts w:cs="Arial"/>
          <w:b/>
          <w:bCs/>
          <w:lang w:val="en-GB"/>
        </w:rPr>
        <w:tab/>
      </w:r>
    </w:p>
    <w:p w14:paraId="4A3AAAE6" w14:textId="77777777" w:rsidR="00B70C7C" w:rsidRPr="007A4DCF" w:rsidRDefault="00B70C7C" w:rsidP="00B70C7C">
      <w:pPr>
        <w:pStyle w:val="Heading1"/>
        <w:rPr>
          <w:rFonts w:cs="Arial"/>
        </w:rPr>
      </w:pPr>
      <w:bookmarkStart w:id="12" w:name="_Toc78200311"/>
      <w:bookmarkStart w:id="13" w:name="_Toc118462208"/>
      <w:r>
        <w:rPr>
          <w:rFonts w:cs="Arial"/>
        </w:rPr>
        <w:lastRenderedPageBreak/>
        <w:t>Document Owner and Approval</w:t>
      </w:r>
      <w:bookmarkEnd w:id="12"/>
      <w:bookmarkEnd w:id="13"/>
    </w:p>
    <w:p w14:paraId="47BB0768" w14:textId="0E4960BE" w:rsidR="00B70C7C" w:rsidRPr="008B0774" w:rsidRDefault="00B70C7C" w:rsidP="00BA2CAF">
      <w:pPr>
        <w:jc w:val="both"/>
        <w:rPr>
          <w:rFonts w:cs="Arial"/>
        </w:rPr>
      </w:pPr>
      <w:r w:rsidRPr="008B0774">
        <w:rPr>
          <w:rFonts w:cs="Arial"/>
        </w:rPr>
        <w:t xml:space="preserve">The </w:t>
      </w:r>
      <w:sdt>
        <w:sdtPr>
          <w:rPr>
            <w:rFonts w:cs="Arial"/>
          </w:rPr>
          <w:alias w:val="DataProtectionOfficer"/>
          <w:tag w:val="DataProtectionOfficer"/>
          <w:id w:val="1081335592"/>
          <w:placeholder>
            <w:docPart w:val="A29205B90AA0DC4DA1A97795D32ED796"/>
          </w:placeholder>
          <w:text/>
        </w:sdtPr>
        <w:sdtEndPr/>
        <w:sdtContent>
          <w:r>
            <w:rPr>
              <w:rFonts w:cs="Arial"/>
            </w:rPr>
            <w:t>Head of HR</w:t>
          </w:r>
        </w:sdtContent>
      </w:sdt>
      <w:r w:rsidRPr="008B0774">
        <w:rPr>
          <w:rFonts w:cs="Arial"/>
        </w:rPr>
        <w:t xml:space="preserve"> </w:t>
      </w:r>
      <w:r>
        <w:rPr>
          <w:rFonts w:cs="Arial"/>
        </w:rPr>
        <w:t xml:space="preserve">(CHRO) in collaboration with the Global Data Protection Officer is </w:t>
      </w:r>
      <w:r w:rsidRPr="008B0774">
        <w:rPr>
          <w:rFonts w:cs="Arial"/>
        </w:rPr>
        <w:t>the owner of this document and is responsible for ensuring that this procedure is reviewed in line with the review requirements of the GDPR</w:t>
      </w:r>
      <w:r>
        <w:rPr>
          <w:rFonts w:cs="Arial"/>
        </w:rPr>
        <w:t xml:space="preserve">, </w:t>
      </w:r>
      <w:r>
        <w:rPr>
          <w:bCs/>
        </w:rPr>
        <w:t xml:space="preserve">other national/international data protection regulations </w:t>
      </w:r>
      <w:r>
        <w:rPr>
          <w:rFonts w:cs="Arial"/>
        </w:rPr>
        <w:t xml:space="preserve">and </w:t>
      </w:r>
      <w:proofErr w:type="spellStart"/>
      <w:r w:rsidR="005C78AB" w:rsidRPr="005C78AB">
        <w:rPr>
          <w:rFonts w:cs="Arial"/>
        </w:rPr>
        <w:t>Guideline_Personal</w:t>
      </w:r>
      <w:proofErr w:type="spellEnd"/>
      <w:r w:rsidR="005C78AB" w:rsidRPr="005C78AB">
        <w:rPr>
          <w:rFonts w:cs="Arial"/>
        </w:rPr>
        <w:t xml:space="preserve"> Data Protection Policy Development</w:t>
      </w:r>
      <w:bookmarkStart w:id="14" w:name="_GoBack"/>
      <w:bookmarkEnd w:id="14"/>
      <w:r w:rsidRPr="008B0774">
        <w:rPr>
          <w:rFonts w:cs="Arial"/>
        </w:rPr>
        <w:t>_V2.</w:t>
      </w:r>
      <w:r w:rsidR="002768DF">
        <w:rPr>
          <w:rFonts w:cs="Arial"/>
        </w:rPr>
        <w:t>3</w:t>
      </w:r>
      <w:r w:rsidRPr="008B0774">
        <w:rPr>
          <w:rFonts w:cs="Arial"/>
        </w:rPr>
        <w:t xml:space="preserve">. </w:t>
      </w:r>
    </w:p>
    <w:p w14:paraId="6D17F00E" w14:textId="77777777" w:rsidR="00B70C7C" w:rsidRPr="008B0774" w:rsidRDefault="00B70C7C" w:rsidP="00BA2CAF">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4A6129AB" w14:textId="2A8B36CF" w:rsidR="00B70C7C" w:rsidRPr="008B0774" w:rsidRDefault="00B70C7C" w:rsidP="00BA2CAF">
      <w:pPr>
        <w:jc w:val="both"/>
        <w:rPr>
          <w:rFonts w:cs="Arial"/>
        </w:rPr>
      </w:pPr>
      <w:r w:rsidRPr="008B0774">
        <w:rPr>
          <w:rFonts w:cs="Arial"/>
        </w:rPr>
        <w:t xml:space="preserve">This </w:t>
      </w:r>
      <w:r>
        <w:rPr>
          <w:rFonts w:cs="Arial"/>
        </w:rPr>
        <w:t>template</w:t>
      </w:r>
      <w:r w:rsidRPr="008B0774">
        <w:rPr>
          <w:rFonts w:cs="Arial"/>
        </w:rPr>
        <w:t xml:space="preserve"> was approved by the </w:t>
      </w:r>
      <w:sdt>
        <w:sdtPr>
          <w:rPr>
            <w:rFonts w:cs="Arial"/>
          </w:rPr>
          <w:alias w:val="HeadIT"/>
          <w:tag w:val="HeadIT"/>
          <w:id w:val="-763603174"/>
          <w:placeholder>
            <w:docPart w:val="3A5C495BAE266442A6BCEB338807D3E6"/>
          </w:placeholder>
          <w:text/>
        </w:sdtPr>
        <w:sdtEndPr/>
        <w:sdtContent>
          <w:r>
            <w:rPr>
              <w:rFonts w:cs="Arial"/>
            </w:rPr>
            <w:t>CFO, board member responsible for data protection</w:t>
          </w:r>
        </w:sdtContent>
      </w:sdt>
      <w:r>
        <w:rPr>
          <w:rFonts w:cs="Arial"/>
        </w:rPr>
        <w:t xml:space="preserve">, see record of change. </w:t>
      </w:r>
    </w:p>
    <w:p w14:paraId="66F203D8" w14:textId="77777777" w:rsidR="0098335F" w:rsidRDefault="0098335F" w:rsidP="00BA2CAF">
      <w:pPr>
        <w:pStyle w:val="BodyText"/>
        <w:jc w:val="both"/>
      </w:pPr>
    </w:p>
    <w:p w14:paraId="588C897E" w14:textId="591A5A01" w:rsidR="00B4625B" w:rsidRDefault="00B4625B">
      <w:pPr>
        <w:spacing w:before="0" w:line="240" w:lineRule="auto"/>
        <w:rPr>
          <w:b/>
          <w:bCs/>
          <w:sz w:val="24"/>
          <w:szCs w:val="24"/>
        </w:rPr>
      </w:pPr>
    </w:p>
    <w:p w14:paraId="634C670C" w14:textId="5221C147" w:rsidR="00B4625B" w:rsidRPr="00B4625B" w:rsidRDefault="00B70C7C" w:rsidP="00B4625B">
      <w:pPr>
        <w:pStyle w:val="Heading1"/>
        <w:numPr>
          <w:ilvl w:val="0"/>
          <w:numId w:val="0"/>
        </w:numPr>
        <w:spacing w:after="120"/>
        <w:ind w:left="431" w:hanging="431"/>
        <w:rPr>
          <w:lang w:eastAsia="zh-TW"/>
        </w:rPr>
      </w:pPr>
      <w:bookmarkStart w:id="15" w:name="_Toc69981654"/>
      <w:bookmarkStart w:id="16" w:name="_Toc118462209"/>
      <w:r>
        <w:rPr>
          <w:lang w:eastAsia="zh-TW"/>
        </w:rPr>
        <w:lastRenderedPageBreak/>
        <w:t>4</w:t>
      </w:r>
      <w:r w:rsidR="00B4625B" w:rsidRPr="00B4625B">
        <w:rPr>
          <w:lang w:eastAsia="zh-TW"/>
        </w:rPr>
        <w:t>.     APPENDIXES</w:t>
      </w:r>
      <w:bookmarkEnd w:id="15"/>
      <w:bookmarkEnd w:id="16"/>
    </w:p>
    <w:p w14:paraId="051A2429" w14:textId="54E2F9EA" w:rsidR="00B4625B" w:rsidRPr="00B4625B" w:rsidRDefault="00B70C7C" w:rsidP="00B4625B">
      <w:pPr>
        <w:pStyle w:val="Heading2"/>
        <w:numPr>
          <w:ilvl w:val="0"/>
          <w:numId w:val="0"/>
        </w:numPr>
        <w:spacing w:before="240"/>
        <w:rPr>
          <w:rFonts w:cs="Arial"/>
        </w:rPr>
      </w:pPr>
      <w:bookmarkStart w:id="17" w:name="_Toc69981655"/>
      <w:bookmarkStart w:id="18" w:name="_Toc262131038"/>
      <w:bookmarkStart w:id="19" w:name="_Toc118462210"/>
      <w:r>
        <w:rPr>
          <w:rFonts w:cs="Arial"/>
        </w:rPr>
        <w:t>4</w:t>
      </w:r>
      <w:r w:rsidR="00B4625B" w:rsidRPr="00B4625B">
        <w:rPr>
          <w:rFonts w:cs="Arial"/>
        </w:rPr>
        <w:t>.1    Definition</w:t>
      </w:r>
      <w:bookmarkEnd w:id="17"/>
      <w:bookmarkEnd w:id="18"/>
      <w:bookmarkEnd w:id="19"/>
    </w:p>
    <w:tbl>
      <w:tblPr>
        <w:tblW w:w="932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4A0" w:firstRow="1" w:lastRow="0" w:firstColumn="1" w:lastColumn="0" w:noHBand="0" w:noVBand="1"/>
      </w:tblPr>
      <w:tblGrid>
        <w:gridCol w:w="2071"/>
        <w:gridCol w:w="7251"/>
      </w:tblGrid>
      <w:tr w:rsidR="00B4625B" w:rsidRPr="00B4625B" w14:paraId="2093ACE6" w14:textId="77777777" w:rsidTr="00B4625B">
        <w:trPr>
          <w:trHeight w:val="527"/>
          <w:tblHeader/>
        </w:trPr>
        <w:tc>
          <w:tcPr>
            <w:tcW w:w="207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56E9E27B" w14:textId="77777777" w:rsidR="00B4625B" w:rsidRPr="00B4625B" w:rsidRDefault="00B4625B">
            <w:pPr>
              <w:rPr>
                <w:rFonts w:cs="Arial"/>
                <w:b/>
              </w:rPr>
            </w:pPr>
            <w:r w:rsidRPr="00B4625B">
              <w:rPr>
                <w:rFonts w:cs="Arial"/>
                <w:b/>
              </w:rPr>
              <w:t>Abbreviations</w:t>
            </w:r>
          </w:p>
        </w:tc>
        <w:tc>
          <w:tcPr>
            <w:tcW w:w="725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65A25B41" w14:textId="77777777" w:rsidR="00B4625B" w:rsidRPr="00B4625B" w:rsidRDefault="00B4625B">
            <w:pPr>
              <w:rPr>
                <w:rFonts w:cs="Arial"/>
                <w:b/>
              </w:rPr>
            </w:pPr>
            <w:r w:rsidRPr="00B4625B">
              <w:rPr>
                <w:rFonts w:cs="Arial"/>
                <w:b/>
              </w:rPr>
              <w:t>Description</w:t>
            </w:r>
          </w:p>
        </w:tc>
      </w:tr>
      <w:tr w:rsidR="00B4625B" w14:paraId="10590D4F" w14:textId="77777777" w:rsidTr="00B4625B">
        <w:trPr>
          <w:trHeight w:val="2095"/>
        </w:trPr>
        <w:tc>
          <w:tcPr>
            <w:tcW w:w="2071" w:type="dxa"/>
            <w:tcBorders>
              <w:top w:val="dotted" w:sz="2" w:space="0" w:color="808080"/>
              <w:left w:val="dotted" w:sz="2" w:space="0" w:color="808080"/>
              <w:bottom w:val="dotted" w:sz="2" w:space="0" w:color="808080"/>
              <w:right w:val="dotted" w:sz="2" w:space="0" w:color="808080"/>
            </w:tcBorders>
            <w:shd w:val="clear" w:color="auto" w:fill="FFFFFF"/>
            <w:hideMark/>
          </w:tcPr>
          <w:p w14:paraId="5C5CB6B0" w14:textId="77777777" w:rsidR="00B4625B" w:rsidRDefault="00B4625B">
            <w:pPr>
              <w:rPr>
                <w:rFonts w:cs="Arial"/>
                <w:szCs w:val="24"/>
              </w:rPr>
            </w:pPr>
            <w:r>
              <w:rPr>
                <w:rFonts w:eastAsia="Microsoft JhengHei" w:cs="Arial"/>
                <w:szCs w:val="24"/>
              </w:rPr>
              <w:t>PII, Personal Identifiable Information,</w:t>
            </w:r>
            <w:r>
              <w:rPr>
                <w:rFonts w:eastAsia="Microsoft JhengHei" w:cs="Arial"/>
                <w:szCs w:val="24"/>
              </w:rPr>
              <w:br/>
              <w:t>Personal Data</w:t>
            </w:r>
          </w:p>
        </w:tc>
        <w:tc>
          <w:tcPr>
            <w:tcW w:w="7251" w:type="dxa"/>
            <w:tcBorders>
              <w:top w:val="dotted" w:sz="2" w:space="0" w:color="808080"/>
              <w:left w:val="dotted" w:sz="2" w:space="0" w:color="808080"/>
              <w:bottom w:val="dotted" w:sz="2" w:space="0" w:color="808080"/>
              <w:right w:val="dotted" w:sz="2" w:space="0" w:color="808080"/>
            </w:tcBorders>
            <w:shd w:val="clear" w:color="auto" w:fill="FFFFFF"/>
            <w:hideMark/>
          </w:tcPr>
          <w:p w14:paraId="6BD9748C" w14:textId="77777777" w:rsidR="00B4625B" w:rsidRDefault="00B4625B" w:rsidP="00B4625B">
            <w:pPr>
              <w:spacing w:line="259" w:lineRule="auto"/>
              <w:jc w:val="both"/>
              <w:rPr>
                <w:rFonts w:cs="Arial"/>
                <w:lang w:eastAsia="zh-TW"/>
              </w:rPr>
            </w:pPr>
            <w:r>
              <w:rPr>
                <w:rFonts w:cs="Arial"/>
                <w:lang w:eastAsia="zh-TW"/>
              </w:rPr>
              <w:t>Refer to the personal data defined by the EU GDPR (Article 4 (1)),</w:t>
            </w:r>
            <w:r>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B4625B" w14:paraId="7145EAA3" w14:textId="77777777" w:rsidTr="00B4625B">
        <w:trPr>
          <w:trHeight w:val="1121"/>
        </w:trPr>
        <w:tc>
          <w:tcPr>
            <w:tcW w:w="2071" w:type="dxa"/>
            <w:tcBorders>
              <w:top w:val="dotted" w:sz="2" w:space="0" w:color="808080"/>
              <w:left w:val="dotted" w:sz="2" w:space="0" w:color="808080"/>
              <w:bottom w:val="dotted" w:sz="2" w:space="0" w:color="808080"/>
              <w:right w:val="dotted" w:sz="2" w:space="0" w:color="808080"/>
            </w:tcBorders>
            <w:hideMark/>
          </w:tcPr>
          <w:p w14:paraId="43603949" w14:textId="77777777" w:rsidR="00B4625B" w:rsidRDefault="00B4625B">
            <w:pPr>
              <w:pStyle w:val="BodyText"/>
            </w:pPr>
            <w:r>
              <w:t>Data Subject</w:t>
            </w:r>
          </w:p>
        </w:tc>
        <w:tc>
          <w:tcPr>
            <w:tcW w:w="7251" w:type="dxa"/>
            <w:tcBorders>
              <w:top w:val="dotted" w:sz="2" w:space="0" w:color="808080"/>
              <w:left w:val="dotted" w:sz="2" w:space="0" w:color="808080"/>
              <w:bottom w:val="dotted" w:sz="2" w:space="0" w:color="808080"/>
              <w:right w:val="dotted" w:sz="2" w:space="0" w:color="808080"/>
            </w:tcBorders>
            <w:hideMark/>
          </w:tcPr>
          <w:p w14:paraId="5D827817" w14:textId="77777777" w:rsidR="00B4625B" w:rsidRDefault="00B4625B" w:rsidP="00B4625B">
            <w:pPr>
              <w:pStyle w:val="BodyText"/>
              <w:spacing w:line="259" w:lineRule="auto"/>
              <w:rPr>
                <w:lang w:eastAsia="zh-TW"/>
              </w:rPr>
            </w:pPr>
            <w:r>
              <w:rPr>
                <w:lang w:eastAsia="zh-TW"/>
              </w:rPr>
              <w:t>EU GDPR (Article 4 - 1),</w:t>
            </w:r>
            <w:r>
              <w:rPr>
                <w:lang w:eastAsia="zh-TW"/>
              </w:rPr>
              <w:br/>
            </w:r>
            <w:r>
              <w:t>Data subject refers to any individual person who can be identified, directly or indirectly.</w:t>
            </w:r>
          </w:p>
        </w:tc>
      </w:tr>
      <w:tr w:rsidR="00B4625B" w14:paraId="2FAAB204" w14:textId="77777777" w:rsidTr="00B4625B">
        <w:trPr>
          <w:trHeight w:val="2230"/>
        </w:trPr>
        <w:tc>
          <w:tcPr>
            <w:tcW w:w="2071" w:type="dxa"/>
            <w:tcBorders>
              <w:top w:val="dotted" w:sz="2" w:space="0" w:color="808080"/>
              <w:left w:val="dotted" w:sz="2" w:space="0" w:color="808080"/>
              <w:bottom w:val="dotted" w:sz="2" w:space="0" w:color="808080"/>
              <w:right w:val="dotted" w:sz="2" w:space="0" w:color="808080"/>
            </w:tcBorders>
            <w:hideMark/>
          </w:tcPr>
          <w:p w14:paraId="224758B7" w14:textId="77777777" w:rsidR="00B4625B" w:rsidRDefault="00B4625B">
            <w:pPr>
              <w:pStyle w:val="BodyText"/>
            </w:pPr>
            <w:r>
              <w:t>Data Controller</w:t>
            </w:r>
          </w:p>
        </w:tc>
        <w:tc>
          <w:tcPr>
            <w:tcW w:w="7251" w:type="dxa"/>
            <w:tcBorders>
              <w:top w:val="dotted" w:sz="2" w:space="0" w:color="808080"/>
              <w:left w:val="dotted" w:sz="2" w:space="0" w:color="808080"/>
              <w:bottom w:val="dotted" w:sz="2" w:space="0" w:color="808080"/>
              <w:right w:val="dotted" w:sz="2" w:space="0" w:color="808080"/>
            </w:tcBorders>
            <w:hideMark/>
          </w:tcPr>
          <w:p w14:paraId="262334BB" w14:textId="77777777" w:rsidR="00B4625B" w:rsidRDefault="00B4625B" w:rsidP="00B4625B">
            <w:pPr>
              <w:pStyle w:val="BodyText"/>
              <w:spacing w:line="259" w:lineRule="auto"/>
              <w:rPr>
                <w:lang w:eastAsia="zh-TW"/>
              </w:rPr>
            </w:pPr>
            <w:r>
              <w:rPr>
                <w:lang w:eastAsia="zh-TW"/>
              </w:rPr>
              <w:t>EU GDPR (Article 4 - 7),</w:t>
            </w:r>
            <w:r>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B4625B" w14:paraId="44017E69" w14:textId="77777777" w:rsidTr="00B4625B">
        <w:trPr>
          <w:trHeight w:val="1108"/>
        </w:trPr>
        <w:tc>
          <w:tcPr>
            <w:tcW w:w="2071" w:type="dxa"/>
            <w:tcBorders>
              <w:top w:val="dotted" w:sz="2" w:space="0" w:color="808080"/>
              <w:left w:val="dotted" w:sz="2" w:space="0" w:color="808080"/>
              <w:bottom w:val="dotted" w:sz="2" w:space="0" w:color="808080"/>
              <w:right w:val="dotted" w:sz="2" w:space="0" w:color="808080"/>
            </w:tcBorders>
            <w:hideMark/>
          </w:tcPr>
          <w:p w14:paraId="427C1340" w14:textId="77777777" w:rsidR="00B4625B" w:rsidRDefault="00B4625B">
            <w:pPr>
              <w:pStyle w:val="BodyText"/>
            </w:pPr>
            <w:r>
              <w:t>Data Processor</w:t>
            </w:r>
          </w:p>
        </w:tc>
        <w:tc>
          <w:tcPr>
            <w:tcW w:w="7251" w:type="dxa"/>
            <w:tcBorders>
              <w:top w:val="dotted" w:sz="2" w:space="0" w:color="808080"/>
              <w:left w:val="dotted" w:sz="2" w:space="0" w:color="808080"/>
              <w:bottom w:val="dotted" w:sz="2" w:space="0" w:color="808080"/>
              <w:right w:val="dotted" w:sz="2" w:space="0" w:color="808080"/>
            </w:tcBorders>
            <w:hideMark/>
          </w:tcPr>
          <w:p w14:paraId="2CFB6940" w14:textId="77777777" w:rsidR="00B4625B" w:rsidRDefault="00B4625B" w:rsidP="00B4625B">
            <w:pPr>
              <w:pStyle w:val="BodyText"/>
              <w:spacing w:line="259" w:lineRule="auto"/>
              <w:rPr>
                <w:lang w:eastAsia="zh-TW"/>
              </w:rPr>
            </w:pPr>
            <w:r>
              <w:rPr>
                <w:lang w:eastAsia="zh-TW"/>
              </w:rPr>
              <w:t>EU GDPR (Article 4 - 8),</w:t>
            </w:r>
            <w:r>
              <w:rPr>
                <w:lang w:eastAsia="zh-TW"/>
              </w:rPr>
              <w:br/>
              <w:t>Data Processor means a natural or legal person, public authority, agency or anybody which processes data on behalf of the controller.</w:t>
            </w:r>
          </w:p>
        </w:tc>
      </w:tr>
      <w:tr w:rsidR="00B4625B" w14:paraId="1E3921FA" w14:textId="77777777" w:rsidTr="00B4625B">
        <w:trPr>
          <w:trHeight w:val="1121"/>
        </w:trPr>
        <w:tc>
          <w:tcPr>
            <w:tcW w:w="2071" w:type="dxa"/>
            <w:tcBorders>
              <w:top w:val="dotted" w:sz="2" w:space="0" w:color="808080"/>
              <w:left w:val="dotted" w:sz="2" w:space="0" w:color="808080"/>
              <w:bottom w:val="dotted" w:sz="2" w:space="0" w:color="808080"/>
              <w:right w:val="dotted" w:sz="2" w:space="0" w:color="808080"/>
            </w:tcBorders>
            <w:hideMark/>
          </w:tcPr>
          <w:p w14:paraId="085B6AE6" w14:textId="77777777" w:rsidR="00B4625B" w:rsidRDefault="00B4625B">
            <w:pPr>
              <w:pStyle w:val="BodyText"/>
            </w:pPr>
            <w:r>
              <w:t xml:space="preserve">Recipient </w:t>
            </w:r>
          </w:p>
        </w:tc>
        <w:tc>
          <w:tcPr>
            <w:tcW w:w="7251" w:type="dxa"/>
            <w:tcBorders>
              <w:top w:val="dotted" w:sz="2" w:space="0" w:color="808080"/>
              <w:left w:val="dotted" w:sz="2" w:space="0" w:color="808080"/>
              <w:bottom w:val="dotted" w:sz="2" w:space="0" w:color="808080"/>
              <w:right w:val="dotted" w:sz="2" w:space="0" w:color="808080"/>
            </w:tcBorders>
            <w:hideMark/>
          </w:tcPr>
          <w:p w14:paraId="3620AA7C" w14:textId="77777777" w:rsidR="00B4625B" w:rsidRDefault="00B4625B" w:rsidP="00B4625B">
            <w:pPr>
              <w:pStyle w:val="BodyText"/>
              <w:spacing w:line="259" w:lineRule="auto"/>
              <w:rPr>
                <w:lang w:eastAsia="zh-TW"/>
              </w:rPr>
            </w:pPr>
            <w:r>
              <w:rPr>
                <w:lang w:eastAsia="zh-TW"/>
              </w:rPr>
              <w:t>EU GDPR (Article 4 - 9),</w:t>
            </w:r>
            <w:r>
              <w:rPr>
                <w:lang w:eastAsia="zh-TW"/>
              </w:rPr>
              <w:br/>
              <w:t>A natural or legal person, public authority, agency or anybody, to which the personal data are disclosed, whether third party or not.</w:t>
            </w:r>
          </w:p>
        </w:tc>
      </w:tr>
      <w:tr w:rsidR="00B4625B" w14:paraId="7A432FAE" w14:textId="77777777" w:rsidTr="00B4625B">
        <w:trPr>
          <w:trHeight w:val="1392"/>
        </w:trPr>
        <w:tc>
          <w:tcPr>
            <w:tcW w:w="2071" w:type="dxa"/>
            <w:tcBorders>
              <w:top w:val="dotted" w:sz="2" w:space="0" w:color="808080"/>
              <w:left w:val="dotted" w:sz="2" w:space="0" w:color="808080"/>
              <w:bottom w:val="dotted" w:sz="2" w:space="0" w:color="808080"/>
              <w:right w:val="dotted" w:sz="2" w:space="0" w:color="808080"/>
            </w:tcBorders>
            <w:hideMark/>
          </w:tcPr>
          <w:p w14:paraId="10D93FE0" w14:textId="77777777" w:rsidR="00B4625B" w:rsidRDefault="00B4625B">
            <w:pPr>
              <w:pStyle w:val="BodyText"/>
            </w:pPr>
            <w:r>
              <w:t>Third Party</w:t>
            </w:r>
          </w:p>
        </w:tc>
        <w:tc>
          <w:tcPr>
            <w:tcW w:w="7251" w:type="dxa"/>
            <w:tcBorders>
              <w:top w:val="dotted" w:sz="2" w:space="0" w:color="808080"/>
              <w:left w:val="dotted" w:sz="2" w:space="0" w:color="808080"/>
              <w:bottom w:val="dotted" w:sz="2" w:space="0" w:color="808080"/>
              <w:right w:val="dotted" w:sz="2" w:space="0" w:color="808080"/>
            </w:tcBorders>
            <w:hideMark/>
          </w:tcPr>
          <w:p w14:paraId="797435DC" w14:textId="77777777" w:rsidR="00B4625B" w:rsidRDefault="00B4625B" w:rsidP="00B4625B">
            <w:pPr>
              <w:pStyle w:val="BodyText"/>
              <w:spacing w:line="259" w:lineRule="auto"/>
              <w:rPr>
                <w:lang w:eastAsia="zh-TW"/>
              </w:rPr>
            </w:pPr>
            <w:r>
              <w:rPr>
                <w:lang w:eastAsia="zh-TW"/>
              </w:rPr>
              <w:t>EU GDPR (Article 4 - 10),</w:t>
            </w:r>
            <w:r>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B4625B" w14:paraId="22382984" w14:textId="77777777" w:rsidTr="00B4625B">
        <w:trPr>
          <w:trHeight w:val="662"/>
        </w:trPr>
        <w:tc>
          <w:tcPr>
            <w:tcW w:w="2071" w:type="dxa"/>
            <w:tcBorders>
              <w:top w:val="dotted" w:sz="2" w:space="0" w:color="808080"/>
              <w:left w:val="dotted" w:sz="2" w:space="0" w:color="808080"/>
              <w:bottom w:val="dotted" w:sz="2" w:space="0" w:color="808080"/>
              <w:right w:val="dotted" w:sz="2" w:space="0" w:color="808080"/>
            </w:tcBorders>
            <w:hideMark/>
          </w:tcPr>
          <w:p w14:paraId="7E8922AA" w14:textId="77777777" w:rsidR="00B4625B" w:rsidRDefault="00B4625B">
            <w:pPr>
              <w:pStyle w:val="BodyText"/>
            </w:pPr>
            <w:r>
              <w:t>DPO/GDPO</w:t>
            </w:r>
          </w:p>
        </w:tc>
        <w:tc>
          <w:tcPr>
            <w:tcW w:w="7251" w:type="dxa"/>
            <w:tcBorders>
              <w:top w:val="dotted" w:sz="2" w:space="0" w:color="808080"/>
              <w:left w:val="dotted" w:sz="2" w:space="0" w:color="808080"/>
              <w:bottom w:val="dotted" w:sz="2" w:space="0" w:color="808080"/>
              <w:right w:val="dotted" w:sz="2" w:space="0" w:color="808080"/>
            </w:tcBorders>
            <w:hideMark/>
          </w:tcPr>
          <w:p w14:paraId="6E03C8B8" w14:textId="77777777" w:rsidR="00B4625B" w:rsidRDefault="00B4625B" w:rsidP="00B4625B">
            <w:pPr>
              <w:pStyle w:val="BodyText"/>
              <w:spacing w:line="259" w:lineRule="auto"/>
            </w:pPr>
            <w:r>
              <w:t>Data Protection Officer/Global Data Protection Officer</w:t>
            </w:r>
          </w:p>
        </w:tc>
      </w:tr>
      <w:tr w:rsidR="00B4625B" w14:paraId="14D0DD48" w14:textId="77777777" w:rsidTr="00B4625B">
        <w:trPr>
          <w:trHeight w:val="662"/>
        </w:trPr>
        <w:tc>
          <w:tcPr>
            <w:tcW w:w="2071" w:type="dxa"/>
            <w:tcBorders>
              <w:top w:val="dotted" w:sz="2" w:space="0" w:color="808080"/>
              <w:left w:val="dotted" w:sz="2" w:space="0" w:color="808080"/>
              <w:bottom w:val="dotted" w:sz="2" w:space="0" w:color="808080"/>
              <w:right w:val="dotted" w:sz="2" w:space="0" w:color="808080"/>
            </w:tcBorders>
            <w:hideMark/>
          </w:tcPr>
          <w:p w14:paraId="5F9D6B5E" w14:textId="77777777" w:rsidR="00B4625B" w:rsidRDefault="00B4625B">
            <w:pPr>
              <w:pStyle w:val="BodyText"/>
            </w:pPr>
            <w:r>
              <w:t>DPIA</w:t>
            </w:r>
          </w:p>
        </w:tc>
        <w:tc>
          <w:tcPr>
            <w:tcW w:w="7251" w:type="dxa"/>
            <w:tcBorders>
              <w:top w:val="dotted" w:sz="2" w:space="0" w:color="808080"/>
              <w:left w:val="dotted" w:sz="2" w:space="0" w:color="808080"/>
              <w:bottom w:val="dotted" w:sz="2" w:space="0" w:color="808080"/>
              <w:right w:val="dotted" w:sz="2" w:space="0" w:color="808080"/>
            </w:tcBorders>
            <w:hideMark/>
          </w:tcPr>
          <w:p w14:paraId="352CDAC1" w14:textId="77777777" w:rsidR="00B4625B" w:rsidRDefault="00B4625B" w:rsidP="00B4625B">
            <w:pPr>
              <w:pStyle w:val="BodyText"/>
              <w:spacing w:line="259" w:lineRule="auto"/>
            </w:pPr>
            <w:r>
              <w:t>Data Protection Impacted Assessment</w:t>
            </w:r>
          </w:p>
        </w:tc>
      </w:tr>
      <w:tr w:rsidR="00B4625B" w14:paraId="37F52B2F" w14:textId="77777777" w:rsidTr="00B4625B">
        <w:trPr>
          <w:trHeight w:val="540"/>
        </w:trPr>
        <w:tc>
          <w:tcPr>
            <w:tcW w:w="2071" w:type="dxa"/>
            <w:tcBorders>
              <w:top w:val="dotted" w:sz="2" w:space="0" w:color="808080"/>
              <w:left w:val="dotted" w:sz="2" w:space="0" w:color="808080"/>
              <w:bottom w:val="dotted" w:sz="2" w:space="0" w:color="808080"/>
              <w:right w:val="dotted" w:sz="2" w:space="0" w:color="808080"/>
            </w:tcBorders>
            <w:hideMark/>
          </w:tcPr>
          <w:p w14:paraId="2BC5CB5B" w14:textId="77777777" w:rsidR="00B4625B" w:rsidRDefault="00B4625B">
            <w:pPr>
              <w:rPr>
                <w:rFonts w:cs="Arial"/>
              </w:rPr>
            </w:pPr>
            <w:r>
              <w:rPr>
                <w:rFonts w:cs="Arial"/>
              </w:rPr>
              <w:t>PIMS</w:t>
            </w:r>
          </w:p>
        </w:tc>
        <w:tc>
          <w:tcPr>
            <w:tcW w:w="7251" w:type="dxa"/>
            <w:tcBorders>
              <w:top w:val="dotted" w:sz="2" w:space="0" w:color="808080"/>
              <w:left w:val="dotted" w:sz="2" w:space="0" w:color="808080"/>
              <w:bottom w:val="dotted" w:sz="2" w:space="0" w:color="808080"/>
              <w:right w:val="dotted" w:sz="2" w:space="0" w:color="808080"/>
            </w:tcBorders>
            <w:hideMark/>
          </w:tcPr>
          <w:p w14:paraId="5E171E60" w14:textId="77777777" w:rsidR="00B4625B" w:rsidRDefault="00B4625B" w:rsidP="00B4625B">
            <w:pPr>
              <w:spacing w:line="259" w:lineRule="auto"/>
              <w:rPr>
                <w:rFonts w:cs="Arial"/>
              </w:rPr>
            </w:pPr>
            <w:r>
              <w:rPr>
                <w:rFonts w:cs="Arial"/>
              </w:rPr>
              <w:t>Personal Information Management System</w:t>
            </w:r>
          </w:p>
        </w:tc>
      </w:tr>
      <w:tr w:rsidR="00B4625B" w14:paraId="169A4817" w14:textId="77777777" w:rsidTr="00B4625B">
        <w:trPr>
          <w:trHeight w:val="527"/>
        </w:trPr>
        <w:tc>
          <w:tcPr>
            <w:tcW w:w="2071" w:type="dxa"/>
            <w:tcBorders>
              <w:top w:val="dotted" w:sz="2" w:space="0" w:color="808080"/>
              <w:left w:val="dotted" w:sz="2" w:space="0" w:color="808080"/>
              <w:bottom w:val="dotted" w:sz="2" w:space="0" w:color="808080"/>
              <w:right w:val="dotted" w:sz="2" w:space="0" w:color="808080"/>
            </w:tcBorders>
            <w:hideMark/>
          </w:tcPr>
          <w:p w14:paraId="5386698A" w14:textId="77777777" w:rsidR="00B4625B" w:rsidRDefault="00B4625B">
            <w:pPr>
              <w:rPr>
                <w:rFonts w:cs="Arial"/>
              </w:rPr>
            </w:pPr>
            <w:r>
              <w:rPr>
                <w:rFonts w:cs="Arial"/>
              </w:rPr>
              <w:t>EU</w:t>
            </w:r>
          </w:p>
        </w:tc>
        <w:tc>
          <w:tcPr>
            <w:tcW w:w="7251" w:type="dxa"/>
            <w:tcBorders>
              <w:top w:val="dotted" w:sz="2" w:space="0" w:color="808080"/>
              <w:left w:val="dotted" w:sz="2" w:space="0" w:color="808080"/>
              <w:bottom w:val="dotted" w:sz="2" w:space="0" w:color="808080"/>
              <w:right w:val="dotted" w:sz="2" w:space="0" w:color="808080"/>
            </w:tcBorders>
            <w:hideMark/>
          </w:tcPr>
          <w:p w14:paraId="668BA733" w14:textId="77777777" w:rsidR="00B4625B" w:rsidRDefault="00B4625B" w:rsidP="00B4625B">
            <w:pPr>
              <w:spacing w:line="259" w:lineRule="auto"/>
              <w:rPr>
                <w:rFonts w:cs="Arial"/>
              </w:rPr>
            </w:pPr>
            <w:r>
              <w:rPr>
                <w:rFonts w:cs="Arial"/>
              </w:rPr>
              <w:t>European Union</w:t>
            </w:r>
          </w:p>
        </w:tc>
      </w:tr>
    </w:tbl>
    <w:p w14:paraId="355104DA" w14:textId="160E6882" w:rsidR="00B4625B" w:rsidRPr="00B4625B" w:rsidRDefault="00B70C7C" w:rsidP="00B4625B">
      <w:pPr>
        <w:pStyle w:val="Heading2"/>
        <w:numPr>
          <w:ilvl w:val="0"/>
          <w:numId w:val="0"/>
        </w:numPr>
        <w:rPr>
          <w:rFonts w:cs="Arial"/>
        </w:rPr>
      </w:pPr>
      <w:bookmarkStart w:id="20" w:name="_Toc69981656"/>
      <w:bookmarkStart w:id="21" w:name="_Toc118462211"/>
      <w:r>
        <w:rPr>
          <w:rFonts w:cs="Arial"/>
        </w:rPr>
        <w:lastRenderedPageBreak/>
        <w:t>4</w:t>
      </w:r>
      <w:r w:rsidR="00B4625B" w:rsidRPr="00B4625B">
        <w:rPr>
          <w:rFonts w:cs="Arial"/>
        </w:rPr>
        <w:t>.2     Related Documents</w:t>
      </w:r>
      <w:bookmarkEnd w:id="20"/>
      <w:bookmarkEnd w:id="21"/>
      <w:r w:rsidR="00B4625B" w:rsidRPr="00B4625B">
        <w:rPr>
          <w:rFonts w:cs="Arial"/>
        </w:rPr>
        <w:t xml:space="preserve"> </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2768DF" w:rsidRPr="00A40AE6" w14:paraId="2B7A6C74"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055D511D" w14:textId="77777777" w:rsidR="002768DF" w:rsidRPr="00A40AE6" w:rsidRDefault="002768DF"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67FD7DA8" w14:textId="77777777" w:rsidR="002768DF" w:rsidRPr="00A40AE6" w:rsidRDefault="002768DF"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02CA71BF" w14:textId="77777777" w:rsidR="002768DF" w:rsidRPr="00A40AE6" w:rsidRDefault="002768DF" w:rsidP="009C66DA">
            <w:pPr>
              <w:ind w:left="432"/>
              <w:rPr>
                <w:rFonts w:cs="Arial"/>
                <w:b/>
              </w:rPr>
            </w:pPr>
            <w:r w:rsidRPr="00A40AE6">
              <w:rPr>
                <w:rFonts w:cs="Arial"/>
                <w:b/>
              </w:rPr>
              <w:t>Name of documents</w:t>
            </w:r>
          </w:p>
        </w:tc>
      </w:tr>
      <w:tr w:rsidR="002768DF" w14:paraId="15ECCF8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29F5D3C" w14:textId="77777777" w:rsidR="002768DF" w:rsidRDefault="002768DF"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06C88F08" w14:textId="77777777" w:rsidR="002768DF" w:rsidRDefault="002768DF"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5723DD47" w14:textId="77777777" w:rsidR="002768DF" w:rsidRDefault="002768DF" w:rsidP="009C66DA">
            <w:pPr>
              <w:rPr>
                <w:rFonts w:cs="Arial"/>
              </w:rPr>
            </w:pPr>
            <w:r>
              <w:rPr>
                <w:rFonts w:cs="Arial"/>
              </w:rPr>
              <w:t>EU General Data Protection Regulation</w:t>
            </w:r>
          </w:p>
        </w:tc>
      </w:tr>
      <w:tr w:rsidR="002768DF" w14:paraId="3491C3F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8E31722" w14:textId="77777777" w:rsidR="002768DF" w:rsidRDefault="002768DF"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7AFB550E" w14:textId="77777777" w:rsidR="002768DF" w:rsidRDefault="002768DF"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16FAF4E5" w14:textId="77777777" w:rsidR="002768DF" w:rsidRDefault="002768DF" w:rsidP="009C66DA">
            <w:pPr>
              <w:rPr>
                <w:rFonts w:cs="Arial"/>
              </w:rPr>
            </w:pPr>
            <w:r>
              <w:rPr>
                <w:rFonts w:cs="Arial"/>
              </w:rPr>
              <w:t>EU Data Protection Directive 95/46/EC</w:t>
            </w:r>
          </w:p>
        </w:tc>
      </w:tr>
      <w:tr w:rsidR="002768DF" w14:paraId="05AE099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716CAB8" w14:textId="77777777" w:rsidR="002768DF" w:rsidRDefault="002768DF"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206BCA57" w14:textId="77777777" w:rsidR="002768DF" w:rsidRDefault="002768DF"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623E28BF" w14:textId="77777777" w:rsidR="002768DF" w:rsidRDefault="002768DF"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2768DF" w14:paraId="607FE9E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0B3D143" w14:textId="77777777" w:rsidR="002768DF" w:rsidRDefault="002768DF"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0D6FA92C" w14:textId="77777777" w:rsidR="002768DF" w:rsidRDefault="002768DF"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0FB9A872" w14:textId="77777777" w:rsidR="002768DF" w:rsidRDefault="002768DF" w:rsidP="009C66DA">
            <w:pPr>
              <w:rPr>
                <w:rFonts w:cs="Arial"/>
              </w:rPr>
            </w:pPr>
            <w:r>
              <w:rPr>
                <w:rFonts w:cs="Arial"/>
              </w:rPr>
              <w:t>Act on the Protection of Personal Information, Japan.</w:t>
            </w:r>
            <w:r>
              <w:rPr>
                <w:rFonts w:cs="Arial"/>
              </w:rPr>
              <w:br/>
              <w:t>It came into force on 30 May 2017.  </w:t>
            </w:r>
          </w:p>
        </w:tc>
      </w:tr>
      <w:tr w:rsidR="002768DF" w14:paraId="2F9EF18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63C315F" w14:textId="77777777" w:rsidR="002768DF" w:rsidRDefault="002768DF"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6E3ED663" w14:textId="77777777" w:rsidR="002768DF" w:rsidRDefault="002768DF"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7BB37BBD" w14:textId="77777777" w:rsidR="002768DF" w:rsidRDefault="002768DF" w:rsidP="009C66DA">
            <w:pPr>
              <w:rPr>
                <w:rFonts w:cs="Arial"/>
              </w:rPr>
            </w:pPr>
            <w:r>
              <w:rPr>
                <w:rFonts w:cs="Arial"/>
              </w:rPr>
              <w:t>Personal Data Protection Act 2012, Singapore</w:t>
            </w:r>
          </w:p>
        </w:tc>
      </w:tr>
      <w:tr w:rsidR="002768DF" w14:paraId="3B59A8F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FA4A939" w14:textId="77777777" w:rsidR="002768DF" w:rsidRDefault="002768DF"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6AFCE019" w14:textId="77777777" w:rsidR="002768DF" w:rsidRDefault="002768DF"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022E0A9C" w14:textId="77777777" w:rsidR="002768DF" w:rsidRDefault="002768DF" w:rsidP="009C66DA">
            <w:pPr>
              <w:rPr>
                <w:rFonts w:cs="Arial"/>
              </w:rPr>
            </w:pPr>
            <w:r>
              <w:rPr>
                <w:rFonts w:cs="Arial"/>
              </w:rPr>
              <w:t>Personal Data (Privacy) Ordinance, Hongkong, 2012</w:t>
            </w:r>
          </w:p>
        </w:tc>
      </w:tr>
      <w:tr w:rsidR="002768DF" w14:paraId="4478394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9B3B83D" w14:textId="77777777" w:rsidR="002768DF" w:rsidRDefault="002768DF"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7EAFE8F4" w14:textId="77777777" w:rsidR="002768DF" w:rsidRDefault="002768DF"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3D88CEF4" w14:textId="77777777" w:rsidR="002768DF" w:rsidRDefault="002768DF" w:rsidP="009C66DA">
            <w:pPr>
              <w:rPr>
                <w:rFonts w:cs="Arial"/>
              </w:rPr>
            </w:pPr>
            <w:r>
              <w:rPr>
                <w:rFonts w:cs="Arial"/>
              </w:rPr>
              <w:t>South Korea’s substantial Personal Information Protection Act (PIPA) was enacted on Sept. 30, 2011</w:t>
            </w:r>
          </w:p>
        </w:tc>
      </w:tr>
      <w:tr w:rsidR="002768DF" w14:paraId="4101ACB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33A8CC5" w14:textId="77777777" w:rsidR="002768DF" w:rsidRDefault="002768DF"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083746F3" w14:textId="77777777" w:rsidR="002768DF" w:rsidRDefault="002768DF"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4BA98289" w14:textId="77777777" w:rsidR="002768DF" w:rsidRDefault="002768DF" w:rsidP="009C66DA">
            <w:pPr>
              <w:rPr>
                <w:rFonts w:cs="Arial"/>
              </w:rPr>
            </w:pPr>
            <w:r>
              <w:rPr>
                <w:rFonts w:cs="Arial"/>
              </w:rPr>
              <w:t>Personal Information Protection and Electronic Documents Act, Canada 2018</w:t>
            </w:r>
          </w:p>
        </w:tc>
      </w:tr>
      <w:tr w:rsidR="002768DF" w14:paraId="2102CD2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84AE3DB" w14:textId="77777777" w:rsidR="002768DF" w:rsidRDefault="002768DF"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6C14356D" w14:textId="77777777" w:rsidR="002768DF" w:rsidRDefault="002768DF"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5E5293F3" w14:textId="77777777" w:rsidR="002768DF" w:rsidRDefault="002768DF"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2768DF" w14:paraId="2A5905B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38474DC" w14:textId="77777777" w:rsidR="002768DF" w:rsidRDefault="002768DF"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0B83D7CB" w14:textId="77777777" w:rsidR="002768DF" w:rsidRDefault="002768DF"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5BFA3F3E" w14:textId="77777777" w:rsidR="002768DF" w:rsidRDefault="002768DF" w:rsidP="009C66DA">
            <w:pPr>
              <w:rPr>
                <w:rFonts w:cs="Arial"/>
              </w:rPr>
            </w:pPr>
            <w:r>
              <w:rPr>
                <w:rFonts w:cs="Arial"/>
                <w:color w:val="000000"/>
                <w:shd w:val="clear" w:color="auto" w:fill="FFFFFF"/>
              </w:rPr>
              <w:t>Health Information Trust Alliance (CSF, Common Security Framework</w:t>
            </w:r>
            <w:r>
              <w:rPr>
                <w:rFonts w:cs="Arial"/>
              </w:rPr>
              <w:t>)</w:t>
            </w:r>
          </w:p>
        </w:tc>
      </w:tr>
      <w:tr w:rsidR="002768DF" w14:paraId="45473A8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43D0F4E" w14:textId="77777777" w:rsidR="002768DF" w:rsidRDefault="002768DF"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2580E44D" w14:textId="77777777" w:rsidR="002768DF" w:rsidRDefault="002768DF"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5CC323F4" w14:textId="77777777" w:rsidR="002768DF" w:rsidRDefault="002768DF" w:rsidP="009C66DA">
            <w:r>
              <w:t>Health Insurance Portability and Accountability Act of 1996 (HIPAA), US</w:t>
            </w:r>
          </w:p>
        </w:tc>
      </w:tr>
      <w:tr w:rsidR="002768DF" w14:paraId="68981E5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89C5229" w14:textId="77777777" w:rsidR="002768DF" w:rsidRDefault="002768DF"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0008CCEF" w14:textId="77777777" w:rsidR="002768DF" w:rsidRDefault="002768DF"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6CAA9EB9" w14:textId="77777777" w:rsidR="002768DF" w:rsidRDefault="002768DF" w:rsidP="009C66DA">
            <w:pPr>
              <w:rPr>
                <w:rFonts w:cs="Arial"/>
              </w:rPr>
            </w:pPr>
            <w:r>
              <w:rPr>
                <w:rFonts w:cs="Arial"/>
              </w:rPr>
              <w:t>Payment Card Industry Data Security Standard, May 2018</w:t>
            </w:r>
          </w:p>
        </w:tc>
      </w:tr>
      <w:tr w:rsidR="002768DF" w14:paraId="318AC05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ED1A057" w14:textId="77777777" w:rsidR="002768DF" w:rsidRDefault="002768DF"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3B00F92E" w14:textId="77777777" w:rsidR="002768DF" w:rsidRDefault="002768DF"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2F642FCE" w14:textId="77777777" w:rsidR="002768DF" w:rsidRDefault="002768DF"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2768DF" w:rsidRPr="00DF2F10" w14:paraId="05D8294C" w14:textId="77777777" w:rsidTr="009C66DA">
        <w:tblPrEx>
          <w:tblLook w:val="0000" w:firstRow="0" w:lastRow="0" w:firstColumn="0" w:lastColumn="0" w:noHBand="0" w:noVBand="0"/>
        </w:tblPrEx>
        <w:tc>
          <w:tcPr>
            <w:tcW w:w="1163" w:type="dxa"/>
          </w:tcPr>
          <w:p w14:paraId="3302710C" w14:textId="77777777" w:rsidR="002768DF" w:rsidRPr="00DF2F10" w:rsidRDefault="002768DF" w:rsidP="009C66DA">
            <w:pPr>
              <w:jc w:val="center"/>
              <w:rPr>
                <w:rFonts w:cs="Arial"/>
              </w:rPr>
            </w:pPr>
            <w:r w:rsidRPr="00DF2F10">
              <w:rPr>
                <w:rFonts w:cs="Arial"/>
              </w:rPr>
              <w:t>1</w:t>
            </w:r>
            <w:r>
              <w:rPr>
                <w:rFonts w:cs="Arial"/>
              </w:rPr>
              <w:t>4</w:t>
            </w:r>
          </w:p>
        </w:tc>
        <w:tc>
          <w:tcPr>
            <w:tcW w:w="2268" w:type="dxa"/>
          </w:tcPr>
          <w:p w14:paraId="7FB7BB36" w14:textId="77777777" w:rsidR="002768DF" w:rsidRPr="00DF2F10" w:rsidRDefault="002768DF" w:rsidP="009C66DA">
            <w:pPr>
              <w:rPr>
                <w:rFonts w:cs="Arial"/>
              </w:rPr>
            </w:pPr>
            <w:r w:rsidRPr="00DF2F10">
              <w:rPr>
                <w:rFonts w:cs="Arial"/>
              </w:rPr>
              <w:t>PDPL, UAR </w:t>
            </w:r>
          </w:p>
        </w:tc>
        <w:tc>
          <w:tcPr>
            <w:tcW w:w="5954" w:type="dxa"/>
          </w:tcPr>
          <w:p w14:paraId="46960F5C" w14:textId="77777777" w:rsidR="002768DF" w:rsidRPr="00DF2F10" w:rsidRDefault="002768DF" w:rsidP="009C66DA">
            <w:pPr>
              <w:rPr>
                <w:rFonts w:cs="Arial"/>
              </w:rPr>
            </w:pPr>
            <w:r w:rsidRPr="00DF2F10">
              <w:rPr>
                <w:rFonts w:cs="Arial"/>
              </w:rPr>
              <w:t>Decree-Law No. 45 of 2021</w:t>
            </w:r>
          </w:p>
        </w:tc>
      </w:tr>
      <w:tr w:rsidR="002768DF" w:rsidRPr="00DF2F10" w14:paraId="1C292020" w14:textId="77777777" w:rsidTr="009C66DA">
        <w:tblPrEx>
          <w:tblLook w:val="0000" w:firstRow="0" w:lastRow="0" w:firstColumn="0" w:lastColumn="0" w:noHBand="0" w:noVBand="0"/>
        </w:tblPrEx>
        <w:tc>
          <w:tcPr>
            <w:tcW w:w="1163" w:type="dxa"/>
          </w:tcPr>
          <w:p w14:paraId="50B4F92A" w14:textId="77777777" w:rsidR="002768DF" w:rsidRPr="00DF2F10" w:rsidRDefault="002768DF" w:rsidP="009C66DA">
            <w:pPr>
              <w:jc w:val="center"/>
              <w:rPr>
                <w:rFonts w:cs="Arial"/>
              </w:rPr>
            </w:pPr>
            <w:r>
              <w:rPr>
                <w:rFonts w:cs="Arial"/>
              </w:rPr>
              <w:t>15</w:t>
            </w:r>
          </w:p>
        </w:tc>
        <w:tc>
          <w:tcPr>
            <w:tcW w:w="2268" w:type="dxa"/>
          </w:tcPr>
          <w:p w14:paraId="49C78EB5" w14:textId="77777777" w:rsidR="002768DF" w:rsidRPr="00167C48" w:rsidRDefault="002768DF" w:rsidP="009C66DA">
            <w:pPr>
              <w:rPr>
                <w:rFonts w:cs="Arial"/>
              </w:rPr>
            </w:pPr>
            <w:r>
              <w:rPr>
                <w:rFonts w:cs="Arial"/>
              </w:rPr>
              <w:t>DPA Philippines</w:t>
            </w:r>
          </w:p>
        </w:tc>
        <w:tc>
          <w:tcPr>
            <w:tcW w:w="5954" w:type="dxa"/>
          </w:tcPr>
          <w:p w14:paraId="07BA966A" w14:textId="77777777" w:rsidR="002768DF" w:rsidRPr="00DF2F10" w:rsidRDefault="002768DF"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2768DF" w:rsidRPr="00D3376D" w14:paraId="74332D14"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70C22744" w14:textId="77777777" w:rsidR="002768DF" w:rsidRPr="00D3376D" w:rsidRDefault="002768DF"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63694C05" w14:textId="77777777" w:rsidR="002768DF" w:rsidRPr="00D3376D" w:rsidRDefault="002768DF"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59964072" w14:textId="77777777" w:rsidR="002768DF" w:rsidRPr="00EB4879" w:rsidRDefault="002768DF"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2768DF" w:rsidRPr="00D3376D" w14:paraId="64CF0DF4"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6A554609" w14:textId="77777777" w:rsidR="002768DF" w:rsidRDefault="002768DF"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646CA527" w14:textId="77777777" w:rsidR="002768DF" w:rsidRPr="00381625" w:rsidRDefault="002768DF"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3708B9DC" w14:textId="77777777" w:rsidR="002768DF" w:rsidRPr="00381625" w:rsidRDefault="002768DF" w:rsidP="009C66DA">
            <w:pPr>
              <w:rPr>
                <w:rFonts w:cs="Arial"/>
              </w:rPr>
            </w:pPr>
            <w:r>
              <w:rPr>
                <w:rFonts w:cs="Arial"/>
              </w:rPr>
              <w:t>Personal Data Protection Act 2010, Malaysia</w:t>
            </w:r>
          </w:p>
        </w:tc>
      </w:tr>
      <w:tr w:rsidR="002768DF" w14:paraId="3744EC31" w14:textId="77777777" w:rsidTr="009C66DA">
        <w:tc>
          <w:tcPr>
            <w:tcW w:w="1163" w:type="dxa"/>
            <w:tcBorders>
              <w:top w:val="dotted" w:sz="4" w:space="0" w:color="auto"/>
              <w:left w:val="dotted" w:sz="4" w:space="0" w:color="auto"/>
              <w:bottom w:val="dotted" w:sz="4" w:space="0" w:color="auto"/>
              <w:right w:val="dotted" w:sz="4" w:space="0" w:color="auto"/>
            </w:tcBorders>
          </w:tcPr>
          <w:p w14:paraId="76572C18" w14:textId="77777777" w:rsidR="002768DF" w:rsidRDefault="002768DF"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0943887D" w14:textId="77777777" w:rsidR="002768DF" w:rsidRDefault="002768DF"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7ED7C8F2" w14:textId="77777777" w:rsidR="002768DF" w:rsidRDefault="002768DF" w:rsidP="009C66DA">
            <w:pPr>
              <w:rPr>
                <w:rFonts w:cs="Arial"/>
              </w:rPr>
            </w:pPr>
            <w:r w:rsidRPr="003A3362">
              <w:rPr>
                <w:rFonts w:cs="Arial"/>
              </w:rPr>
              <w:t>Trusted information security assessment exchange</w:t>
            </w:r>
          </w:p>
        </w:tc>
      </w:tr>
      <w:tr w:rsidR="002768DF" w14:paraId="63F9FC8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A25EC70" w14:textId="77777777" w:rsidR="002768DF" w:rsidRDefault="002768DF"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4BEC8052" w14:textId="77777777" w:rsidR="002768DF" w:rsidRDefault="002768DF"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4B039863" w14:textId="77777777" w:rsidR="002768DF" w:rsidRDefault="002768DF" w:rsidP="009C66DA">
            <w:pPr>
              <w:rPr>
                <w:rFonts w:cs="Arial"/>
              </w:rPr>
            </w:pPr>
            <w:r>
              <w:rPr>
                <w:rFonts w:cs="Arial"/>
              </w:rPr>
              <w:t>British Standard Personal Information Management System </w:t>
            </w:r>
          </w:p>
        </w:tc>
      </w:tr>
      <w:tr w:rsidR="002768DF" w14:paraId="5BF513F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85AD7B0" w14:textId="77777777" w:rsidR="002768DF" w:rsidRDefault="002768DF"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20113755" w14:textId="77777777" w:rsidR="002768DF" w:rsidRDefault="002768DF"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4F847ACA" w14:textId="77777777" w:rsidR="002768DF" w:rsidRDefault="002768DF" w:rsidP="009C66DA">
            <w:pPr>
              <w:rPr>
                <w:rFonts w:cs="Arial"/>
                <w:color w:val="000000"/>
              </w:rPr>
            </w:pPr>
            <w:r>
              <w:rPr>
                <w:rFonts w:cs="Arial"/>
                <w:color w:val="000000"/>
              </w:rPr>
              <w:t>Vietnamese laws on Privacy:</w:t>
            </w:r>
          </w:p>
          <w:p w14:paraId="28677917" w14:textId="77777777" w:rsidR="002768DF" w:rsidRDefault="002768DF" w:rsidP="009C66DA">
            <w:pPr>
              <w:rPr>
                <w:rFonts w:cs="Arial"/>
                <w:color w:val="000000"/>
              </w:rPr>
            </w:pPr>
            <w:r>
              <w:rPr>
                <w:rFonts w:cs="Arial"/>
                <w:color w:val="000000"/>
              </w:rPr>
              <w:t>- Article 21 of the 2013 Constitution</w:t>
            </w:r>
          </w:p>
          <w:p w14:paraId="249D3BCD" w14:textId="77777777" w:rsidR="002768DF" w:rsidRDefault="002768DF" w:rsidP="009C66DA">
            <w:pPr>
              <w:rPr>
                <w:rFonts w:cs="Arial"/>
                <w:color w:val="000000"/>
              </w:rPr>
            </w:pPr>
            <w:r>
              <w:rPr>
                <w:rFonts w:cs="Arial"/>
                <w:color w:val="000000"/>
              </w:rPr>
              <w:t>- Article 38 of the Civil Code 2015</w:t>
            </w:r>
          </w:p>
          <w:p w14:paraId="3F0BF626" w14:textId="77777777" w:rsidR="002768DF" w:rsidRDefault="002768DF" w:rsidP="009C66DA">
            <w:pPr>
              <w:rPr>
                <w:rFonts w:cs="Arial"/>
                <w:color w:val="000000"/>
              </w:rPr>
            </w:pPr>
            <w:r>
              <w:rPr>
                <w:rFonts w:cs="Arial"/>
                <w:color w:val="000000"/>
              </w:rPr>
              <w:t>- Article 125 of the Penal Code</w:t>
            </w:r>
          </w:p>
          <w:p w14:paraId="48EEDF01" w14:textId="77777777" w:rsidR="002768DF" w:rsidRDefault="002768DF" w:rsidP="009C66DA">
            <w:pPr>
              <w:rPr>
                <w:rFonts w:cs="Arial"/>
                <w:color w:val="000000"/>
              </w:rPr>
            </w:pPr>
            <w:r>
              <w:rPr>
                <w:rFonts w:cs="Arial"/>
                <w:color w:val="000000"/>
              </w:rPr>
              <w:t>- Clause 2 of Article 19 of the Labor Code</w:t>
            </w:r>
          </w:p>
          <w:p w14:paraId="0EEE02FB" w14:textId="77777777" w:rsidR="002768DF" w:rsidRDefault="002768DF"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2768DF" w14:paraId="0234536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40B3707" w14:textId="77777777" w:rsidR="002768DF" w:rsidRDefault="002768DF"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1D4AFB03" w14:textId="77777777" w:rsidR="002768DF" w:rsidRDefault="002768DF"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608C520B" w14:textId="77777777" w:rsidR="002768DF" w:rsidRDefault="002768DF" w:rsidP="009C66DA">
            <w:pPr>
              <w:rPr>
                <w:rFonts w:cs="Arial"/>
                <w:color w:val="000000"/>
              </w:rPr>
            </w:pPr>
            <w:r>
              <w:rPr>
                <w:rFonts w:cs="Arial"/>
                <w:color w:val="000000"/>
              </w:rPr>
              <w:t>PDP_ Handbook_Version_V3.3</w:t>
            </w:r>
          </w:p>
        </w:tc>
      </w:tr>
    </w:tbl>
    <w:p w14:paraId="4503E894" w14:textId="77777777" w:rsidR="002768DF" w:rsidRDefault="002768DF" w:rsidP="002768DF"/>
    <w:p w14:paraId="749F1BF3" w14:textId="77777777" w:rsidR="002768DF" w:rsidRDefault="002768DF">
      <w:pPr>
        <w:spacing w:before="0" w:line="240" w:lineRule="auto"/>
        <w:rPr>
          <w:b/>
          <w:i/>
          <w:spacing w:val="-10"/>
          <w:kern w:val="28"/>
          <w:sz w:val="22"/>
        </w:rPr>
      </w:pPr>
      <w:bookmarkStart w:id="22" w:name="_Toc116390343"/>
      <w:bookmarkStart w:id="23" w:name="_Toc117496759"/>
      <w:bookmarkStart w:id="24" w:name="_Toc117583932"/>
      <w:bookmarkStart w:id="25" w:name="_Toc117593905"/>
      <w:r>
        <w:br w:type="page"/>
      </w:r>
    </w:p>
    <w:p w14:paraId="2125D5FA" w14:textId="39D67DA6" w:rsidR="002768DF" w:rsidRDefault="002768DF" w:rsidP="002768DF">
      <w:pPr>
        <w:pStyle w:val="Heading2"/>
        <w:numPr>
          <w:ilvl w:val="0"/>
          <w:numId w:val="0"/>
        </w:numPr>
        <w:ind w:left="576" w:hanging="576"/>
      </w:pPr>
      <w:bookmarkStart w:id="26" w:name="_Toc118462212"/>
      <w:r>
        <w:lastRenderedPageBreak/>
        <w:t>4.3</w:t>
      </w:r>
      <w:r>
        <w:tab/>
        <w:t>Data Protection Law, Vietnam, Overview</w:t>
      </w:r>
      <w:bookmarkEnd w:id="22"/>
      <w:bookmarkEnd w:id="23"/>
      <w:bookmarkEnd w:id="24"/>
      <w:bookmarkEnd w:id="25"/>
      <w:bookmarkEnd w:id="26"/>
    </w:p>
    <w:p w14:paraId="438E8D3F" w14:textId="77777777" w:rsidR="002768DF" w:rsidRPr="00784236" w:rsidRDefault="002768DF" w:rsidP="002768DF">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4ECD70EB" w14:textId="77777777" w:rsidR="002768DF" w:rsidRPr="00784236" w:rsidRDefault="002768DF" w:rsidP="002768DF">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3A71C8B4" w14:textId="77777777" w:rsidR="002768DF" w:rsidRPr="00784236" w:rsidRDefault="002768DF" w:rsidP="002768DF">
      <w:pPr>
        <w:pStyle w:val="BodyText"/>
        <w:numPr>
          <w:ilvl w:val="0"/>
          <w:numId w:val="30"/>
        </w:numPr>
        <w:spacing w:after="0"/>
        <w:jc w:val="both"/>
      </w:pPr>
      <w:r w:rsidRPr="00784236">
        <w:rPr>
          <w:rFonts w:hint="cs"/>
          <w:b/>
          <w:bCs/>
        </w:rPr>
        <w:t>Criminal Code</w:t>
      </w:r>
      <w:r w:rsidRPr="00784236">
        <w:rPr>
          <w:rFonts w:hint="cs"/>
        </w:rPr>
        <w:t xml:space="preserve"> No. 100/2015/QH13, passed by the National Assembly on 27 November 2015</w:t>
      </w:r>
    </w:p>
    <w:p w14:paraId="3A2D795B" w14:textId="77777777" w:rsidR="002768DF" w:rsidRPr="00784236" w:rsidRDefault="002768DF" w:rsidP="002768DF">
      <w:pPr>
        <w:pStyle w:val="BodyText"/>
        <w:numPr>
          <w:ilvl w:val="0"/>
          <w:numId w:val="30"/>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7D957B56" w14:textId="77777777" w:rsidR="002768DF" w:rsidRPr="00784236" w:rsidRDefault="002768DF" w:rsidP="002768DF">
      <w:pPr>
        <w:pStyle w:val="BodyText"/>
        <w:numPr>
          <w:ilvl w:val="0"/>
          <w:numId w:val="30"/>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6AA985EE" w14:textId="77777777" w:rsidR="002768DF" w:rsidRPr="00784236" w:rsidRDefault="002768DF" w:rsidP="002768DF">
      <w:pPr>
        <w:pStyle w:val="BodyText"/>
        <w:numPr>
          <w:ilvl w:val="0"/>
          <w:numId w:val="30"/>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0483E6B0" w14:textId="77777777" w:rsidR="002768DF" w:rsidRPr="00784236" w:rsidRDefault="002768DF" w:rsidP="002768DF">
      <w:pPr>
        <w:pStyle w:val="BodyText"/>
        <w:numPr>
          <w:ilvl w:val="0"/>
          <w:numId w:val="30"/>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53359EA4" w14:textId="77777777" w:rsidR="002768DF" w:rsidRPr="00784236" w:rsidRDefault="002768DF" w:rsidP="002768DF">
      <w:pPr>
        <w:pStyle w:val="BodyText"/>
        <w:numPr>
          <w:ilvl w:val="0"/>
          <w:numId w:val="30"/>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4B13D5F7" w14:textId="77777777" w:rsidR="002768DF" w:rsidRPr="00784236" w:rsidRDefault="002768DF" w:rsidP="002768DF">
      <w:pPr>
        <w:pStyle w:val="BodyText"/>
        <w:numPr>
          <w:ilvl w:val="0"/>
          <w:numId w:val="30"/>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53043D25" w14:textId="3BBAE4F9" w:rsidR="002768DF" w:rsidRPr="00784236" w:rsidRDefault="002768DF" w:rsidP="002768DF">
      <w:pPr>
        <w:pStyle w:val="BodyText"/>
        <w:numPr>
          <w:ilvl w:val="0"/>
          <w:numId w:val="30"/>
        </w:numPr>
        <w:spacing w:after="0"/>
        <w:jc w:val="both"/>
      </w:pPr>
      <w:r w:rsidRPr="00784236">
        <w:rPr>
          <w:rFonts w:hint="cs"/>
        </w:rPr>
        <w:t xml:space="preserve">Decree No. 72/2013/ND-CP dated 15 July 2013 of the Government, on management, provision and use of Internet services and online </w:t>
      </w:r>
      <w:r w:rsidRPr="00784236">
        <w:t>information</w:t>
      </w:r>
      <w:r w:rsidRPr="00784236">
        <w:rPr>
          <w:rFonts w:hint="cs"/>
        </w:rPr>
        <w:t xml:space="preserve"> as amended by Decree No. 27/2018/ND-CP dated 1 March 2018 and Decree No.150/2018/ND-CP dated 7 November 2018 (“</w:t>
      </w:r>
      <w:r w:rsidRPr="00784236">
        <w:rPr>
          <w:rFonts w:hint="cs"/>
          <w:b/>
          <w:bCs/>
        </w:rPr>
        <w:t>Decree 72</w:t>
      </w:r>
      <w:r w:rsidRPr="00784236">
        <w:rPr>
          <w:rFonts w:hint="cs"/>
        </w:rPr>
        <w:t>”);</w:t>
      </w:r>
    </w:p>
    <w:p w14:paraId="64AA9B2B" w14:textId="77777777" w:rsidR="002768DF" w:rsidRPr="00784236" w:rsidRDefault="002768DF" w:rsidP="002768DF">
      <w:pPr>
        <w:pStyle w:val="BodyText"/>
        <w:numPr>
          <w:ilvl w:val="0"/>
          <w:numId w:val="30"/>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000F9B97" w14:textId="77777777" w:rsidR="002768DF" w:rsidRPr="00784236" w:rsidRDefault="002768DF" w:rsidP="002768DF">
      <w:pPr>
        <w:pStyle w:val="BodyText"/>
        <w:numPr>
          <w:ilvl w:val="0"/>
          <w:numId w:val="30"/>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71D09099" w14:textId="77777777" w:rsidR="002768DF" w:rsidRPr="00784236" w:rsidRDefault="002768DF" w:rsidP="002768DF">
      <w:pPr>
        <w:pStyle w:val="BodyText"/>
        <w:numPr>
          <w:ilvl w:val="0"/>
          <w:numId w:val="30"/>
        </w:numPr>
        <w:spacing w:after="0"/>
        <w:jc w:val="both"/>
      </w:pPr>
      <w:r w:rsidRPr="00784236">
        <w:rPr>
          <w:rFonts w:hint="cs"/>
        </w:rPr>
        <w:lastRenderedPageBreak/>
        <w:t>Circular No. 03/2017/TT-BTTTT of the Ministry of Information and Communications dated 24 April 2017 on guidelines for Decree 85 (“</w:t>
      </w:r>
      <w:r w:rsidRPr="00784236">
        <w:rPr>
          <w:rFonts w:hint="cs"/>
          <w:b/>
          <w:bCs/>
        </w:rPr>
        <w:t>Circular 03</w:t>
      </w:r>
      <w:r w:rsidRPr="00784236">
        <w:rPr>
          <w:rFonts w:hint="cs"/>
        </w:rPr>
        <w:t>”);</w:t>
      </w:r>
    </w:p>
    <w:p w14:paraId="694825E2" w14:textId="77777777" w:rsidR="002768DF" w:rsidRPr="00784236" w:rsidRDefault="002768DF" w:rsidP="002768DF">
      <w:pPr>
        <w:pStyle w:val="BodyText"/>
        <w:numPr>
          <w:ilvl w:val="0"/>
          <w:numId w:val="30"/>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0FE230BD" w14:textId="77777777" w:rsidR="002768DF" w:rsidRPr="00784236" w:rsidRDefault="002768DF" w:rsidP="002768DF">
      <w:pPr>
        <w:pStyle w:val="BodyText"/>
        <w:numPr>
          <w:ilvl w:val="0"/>
          <w:numId w:val="30"/>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737469C5" w14:textId="77777777" w:rsidR="002768DF" w:rsidRPr="00784236" w:rsidRDefault="002768DF" w:rsidP="002768DF">
      <w:pPr>
        <w:pStyle w:val="BodyText"/>
        <w:numPr>
          <w:ilvl w:val="0"/>
          <w:numId w:val="30"/>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540AA3B9" w14:textId="77777777" w:rsidR="002768DF" w:rsidRPr="00784236" w:rsidRDefault="002768DF" w:rsidP="002768DF">
      <w:pPr>
        <w:pStyle w:val="BodyText"/>
        <w:numPr>
          <w:ilvl w:val="0"/>
          <w:numId w:val="30"/>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3737E578" w14:textId="77777777" w:rsidR="002768DF" w:rsidRPr="00784236" w:rsidRDefault="002768DF" w:rsidP="002768DF">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766B10B2" w14:textId="77777777" w:rsidR="002768DF" w:rsidRPr="00784236" w:rsidRDefault="002768DF" w:rsidP="00BA2CAF">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046C7048" w14:textId="77777777" w:rsidR="002768DF" w:rsidRPr="00784236" w:rsidRDefault="002768DF" w:rsidP="00BA2CAF">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4F1C381F" w14:textId="77777777" w:rsidR="002768DF" w:rsidRPr="00784236" w:rsidRDefault="002768DF" w:rsidP="00BA2CAF">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08A1DF6C" w14:textId="77777777" w:rsidR="002768DF" w:rsidRPr="00784236" w:rsidRDefault="002768DF" w:rsidP="00BA2CAF">
      <w:pPr>
        <w:pStyle w:val="BodyText"/>
        <w:jc w:val="both"/>
      </w:pPr>
    </w:p>
    <w:p w14:paraId="4504E3C3" w14:textId="77777777" w:rsidR="002768DF" w:rsidRPr="00784236" w:rsidRDefault="002768DF" w:rsidP="002768DF">
      <w:pPr>
        <w:pStyle w:val="BodyText"/>
      </w:pPr>
    </w:p>
    <w:p w14:paraId="428B2E78" w14:textId="5CF5F766" w:rsidR="0034251C" w:rsidRPr="00B4625B" w:rsidRDefault="0034251C" w:rsidP="00B4625B"/>
    <w:sectPr w:rsidR="0034251C" w:rsidRPr="00B4625B" w:rsidSect="00297C82">
      <w:headerReference w:type="default" r:id="rId9"/>
      <w:footerReference w:type="default" r:id="rId10"/>
      <w:headerReference w:type="first" r:id="rId11"/>
      <w:pgSz w:w="11909" w:h="16834" w:code="9"/>
      <w:pgMar w:top="1411" w:right="1440" w:bottom="993" w:left="1440" w:header="567" w:footer="32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2CA16" w14:textId="77777777" w:rsidR="00B62D6A" w:rsidRDefault="00B62D6A" w:rsidP="00892FBC">
      <w:r>
        <w:separator/>
      </w:r>
    </w:p>
  </w:endnote>
  <w:endnote w:type="continuationSeparator" w:id="0">
    <w:p w14:paraId="7617D18C" w14:textId="77777777" w:rsidR="00B62D6A" w:rsidRDefault="00B62D6A"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Roman">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0" w:usb1="08080000" w:usb2="00000010" w:usb3="00000000" w:csb0="001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01182B4B" w:rsidR="0066353E" w:rsidRPr="00297C82" w:rsidRDefault="00416586" w:rsidP="002C0ED4">
    <w:pPr>
      <w:pStyle w:val="Footer"/>
      <w:pBdr>
        <w:top w:val="single" w:sz="4" w:space="1" w:color="auto"/>
      </w:pBdr>
      <w:rPr>
        <w:rFonts w:cs="Arial"/>
        <w:noProof/>
        <w:color w:val="808080" w:themeColor="background1" w:themeShade="80"/>
        <w:sz w:val="18"/>
        <w:szCs w:val="18"/>
      </w:rPr>
    </w:pPr>
    <w:r w:rsidRPr="00416586">
      <w:rPr>
        <w:rFonts w:cs="Arial"/>
        <w:color w:val="808080" w:themeColor="background1" w:themeShade="80"/>
        <w:lang w:val="de-DE"/>
      </w:rPr>
      <w:t>35e-BM/SG/HDCV/FSOFT</w:t>
    </w:r>
    <w:r w:rsidR="0066353E" w:rsidRPr="00297C82">
      <w:rPr>
        <w:rFonts w:cs="Arial"/>
        <w:noProof/>
        <w:color w:val="808080" w:themeColor="background1" w:themeShade="80"/>
        <w:sz w:val="18"/>
        <w:szCs w:val="18"/>
      </w:rPr>
      <w:tab/>
      <w:t>Internal use</w:t>
    </w:r>
    <w:r w:rsidR="0066353E" w:rsidRPr="00297C82">
      <w:rPr>
        <w:rFonts w:cs="Arial"/>
        <w:noProof/>
        <w:color w:val="808080" w:themeColor="background1" w:themeShade="80"/>
        <w:sz w:val="18"/>
        <w:szCs w:val="18"/>
      </w:rPr>
      <w:tab/>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PAGE </w:instrText>
    </w:r>
    <w:r w:rsidR="0066353E" w:rsidRPr="00297C82">
      <w:rPr>
        <w:rFonts w:cs="Arial"/>
        <w:noProof/>
        <w:color w:val="808080" w:themeColor="background1" w:themeShade="80"/>
        <w:sz w:val="18"/>
        <w:szCs w:val="18"/>
      </w:rPr>
      <w:fldChar w:fldCharType="separate"/>
    </w:r>
    <w:r w:rsidR="005C78AB">
      <w:rPr>
        <w:rFonts w:cs="Arial"/>
        <w:noProof/>
        <w:color w:val="808080" w:themeColor="background1" w:themeShade="80"/>
        <w:sz w:val="18"/>
        <w:szCs w:val="18"/>
      </w:rPr>
      <w:t>13</w:t>
    </w:r>
    <w:r w:rsidR="0066353E" w:rsidRPr="00297C82">
      <w:rPr>
        <w:rFonts w:cs="Arial"/>
        <w:noProof/>
        <w:color w:val="808080" w:themeColor="background1" w:themeShade="80"/>
        <w:sz w:val="18"/>
        <w:szCs w:val="18"/>
      </w:rPr>
      <w:fldChar w:fldCharType="end"/>
    </w:r>
    <w:r w:rsidR="0066353E" w:rsidRPr="00297C82">
      <w:rPr>
        <w:rFonts w:cs="Arial"/>
        <w:noProof/>
        <w:color w:val="808080" w:themeColor="background1" w:themeShade="80"/>
        <w:sz w:val="18"/>
        <w:szCs w:val="18"/>
      </w:rPr>
      <w:t>/</w:t>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NUMPAGES </w:instrText>
    </w:r>
    <w:r w:rsidR="0066353E" w:rsidRPr="00297C82">
      <w:rPr>
        <w:rFonts w:cs="Arial"/>
        <w:noProof/>
        <w:color w:val="808080" w:themeColor="background1" w:themeShade="80"/>
        <w:sz w:val="18"/>
        <w:szCs w:val="18"/>
      </w:rPr>
      <w:fldChar w:fldCharType="separate"/>
    </w:r>
    <w:r w:rsidR="005C78AB">
      <w:rPr>
        <w:rFonts w:cs="Arial"/>
        <w:noProof/>
        <w:color w:val="808080" w:themeColor="background1" w:themeShade="80"/>
        <w:sz w:val="18"/>
        <w:szCs w:val="18"/>
      </w:rPr>
      <w:t>13</w:t>
    </w:r>
    <w:r w:rsidR="0066353E" w:rsidRPr="00297C82">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7FC2D" w14:textId="77777777" w:rsidR="00B62D6A" w:rsidRDefault="00B62D6A" w:rsidP="00892FBC">
      <w:r>
        <w:separator/>
      </w:r>
    </w:p>
  </w:footnote>
  <w:footnote w:type="continuationSeparator" w:id="0">
    <w:p w14:paraId="4E43008E" w14:textId="77777777" w:rsidR="00B62D6A" w:rsidRDefault="00B62D6A"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02567858" w:rsidR="0066353E" w:rsidRPr="00297C82" w:rsidRDefault="00C25F01" w:rsidP="00297C82">
    <w:pPr>
      <w:pStyle w:val="Header"/>
      <w:pBdr>
        <w:bottom w:val="single" w:sz="4" w:space="1" w:color="auto"/>
      </w:pBdr>
      <w:tabs>
        <w:tab w:val="clear" w:pos="4320"/>
        <w:tab w:val="clear" w:pos="8640"/>
        <w:tab w:val="right" w:pos="8789"/>
      </w:tabs>
      <w:rPr>
        <w:rFonts w:cs="Tahoma"/>
        <w:color w:val="808080"/>
        <w:sz w:val="18"/>
        <w:szCs w:val="18"/>
      </w:rPr>
    </w:pPr>
    <w:proofErr w:type="spellStart"/>
    <w:r>
      <w:rPr>
        <w:rFonts w:cs="Tahoma"/>
        <w:color w:val="808080"/>
        <w:sz w:val="18"/>
        <w:szCs w:val="18"/>
      </w:rPr>
      <w:t>Template_</w:t>
    </w:r>
    <w:r w:rsidR="003C1A3E">
      <w:rPr>
        <w:rFonts w:cs="Tahoma"/>
        <w:color w:val="808080"/>
        <w:sz w:val="18"/>
        <w:szCs w:val="18"/>
      </w:rPr>
      <w:t>Job</w:t>
    </w:r>
    <w:proofErr w:type="spellEnd"/>
    <w:r w:rsidR="003C1A3E">
      <w:rPr>
        <w:rFonts w:cs="Tahoma"/>
        <w:color w:val="808080"/>
        <w:sz w:val="18"/>
        <w:szCs w:val="18"/>
      </w:rPr>
      <w:t xml:space="preserve"> Description</w:t>
    </w:r>
    <w:r w:rsidR="000C41E4">
      <w:rPr>
        <w:rFonts w:cs="Tahoma"/>
        <w:color w:val="808080"/>
        <w:sz w:val="18"/>
        <w:szCs w:val="18"/>
      </w:rPr>
      <w:t xml:space="preserve"> and Responsibilities</w:t>
    </w:r>
    <w:r w:rsidR="0066353E" w:rsidRPr="00297C82">
      <w:rPr>
        <w:rFonts w:cs="Tahoma"/>
        <w:color w:val="808080"/>
        <w:sz w:val="18"/>
        <w:szCs w:val="18"/>
      </w:rPr>
      <w:tab/>
      <w:t xml:space="preserve"> </w:t>
    </w:r>
    <w:r w:rsidR="00402C00">
      <w:rPr>
        <w:rFonts w:cs="Tahoma"/>
        <w:color w:val="808080"/>
        <w:sz w:val="18"/>
        <w:szCs w:val="18"/>
      </w:rPr>
      <w:t>v</w:t>
    </w:r>
    <w:r w:rsidR="000C6D1C">
      <w:rPr>
        <w:rFonts w:cs="Tahoma"/>
        <w:color w:val="808080"/>
        <w:sz w:val="18"/>
        <w:szCs w:val="18"/>
      </w:rPr>
      <w:t>1</w:t>
    </w:r>
    <w:r w:rsidR="00402C00">
      <w:rPr>
        <w:rFonts w:cs="Tahoma"/>
        <w:color w:val="808080"/>
        <w:sz w:val="18"/>
        <w:szCs w:val="18"/>
      </w:rPr>
      <w:t>.</w:t>
    </w:r>
    <w:r w:rsidR="00FE2EF5">
      <w:rPr>
        <w:rFonts w:cs="Tahoma"/>
        <w:color w:val="8080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835ED"/>
    <w:multiLevelType w:val="multilevel"/>
    <w:tmpl w:val="F9EE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F1890"/>
    <w:multiLevelType w:val="hybridMultilevel"/>
    <w:tmpl w:val="8C32CC8A"/>
    <w:lvl w:ilvl="0" w:tplc="93CA11F6">
      <w:start w:val="2"/>
      <w:numFmt w:val="bullet"/>
      <w:lvlText w:val="-"/>
      <w:lvlJc w:val="left"/>
      <w:pPr>
        <w:ind w:left="673" w:hanging="360"/>
      </w:pPr>
      <w:rPr>
        <w:rFonts w:ascii="Verdana" w:eastAsiaTheme="minorHAnsi" w:hAnsi="Verdana" w:cs="Times New Roman"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3" w15:restartNumberingAfterBreak="0">
    <w:nsid w:val="0D633D7A"/>
    <w:multiLevelType w:val="hybridMultilevel"/>
    <w:tmpl w:val="948AEEC0"/>
    <w:lvl w:ilvl="0" w:tplc="98C2E31C">
      <w:start w:val="1"/>
      <w:numFmt w:val="bullet"/>
      <w:lvlText w:val="-"/>
      <w:lvlJc w:val="left"/>
      <w:pPr>
        <w:ind w:left="720" w:hanging="360"/>
      </w:pPr>
      <w:rPr>
        <w:rFonts w:ascii="Courier New" w:hAnsi="Courier New" w:hint="default"/>
      </w:rPr>
    </w:lvl>
    <w:lvl w:ilvl="1" w:tplc="98C2E31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F15C8"/>
    <w:multiLevelType w:val="multilevel"/>
    <w:tmpl w:val="4B8A7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F70025"/>
    <w:multiLevelType w:val="hybridMultilevel"/>
    <w:tmpl w:val="CEEA6CE6"/>
    <w:lvl w:ilvl="0" w:tplc="38487EEA">
      <w:start w:val="1"/>
      <w:numFmt w:val="lowerLetter"/>
      <w:lvlText w:val="%1."/>
      <w:lvlJc w:val="left"/>
      <w:pPr>
        <w:ind w:left="720" w:hanging="360"/>
      </w:pPr>
      <w:rPr>
        <w:rFonts w:ascii="Verdana" w:eastAsia="Calibri" w:hAnsi="Verdana" w:cs="Frutiger-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4F5CD5"/>
    <w:multiLevelType w:val="multilevel"/>
    <w:tmpl w:val="4650D0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E7351B1"/>
    <w:multiLevelType w:val="hybridMultilevel"/>
    <w:tmpl w:val="B7FCF752"/>
    <w:lvl w:ilvl="0" w:tplc="04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2" w15:restartNumberingAfterBreak="0">
    <w:nsid w:val="2E7743C3"/>
    <w:multiLevelType w:val="multilevel"/>
    <w:tmpl w:val="4B8A7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40478"/>
    <w:multiLevelType w:val="hybridMultilevel"/>
    <w:tmpl w:val="48846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8"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9"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7487BF2"/>
    <w:multiLevelType w:val="multilevel"/>
    <w:tmpl w:val="4B8A7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3"/>
  </w:num>
  <w:num w:numId="2">
    <w:abstractNumId w:val="20"/>
  </w:num>
  <w:num w:numId="3">
    <w:abstractNumId w:val="19"/>
  </w:num>
  <w:num w:numId="4">
    <w:abstractNumId w:val="17"/>
  </w:num>
  <w:num w:numId="5">
    <w:abstractNumId w:val="7"/>
  </w:num>
  <w:num w:numId="6">
    <w:abstractNumId w:val="11"/>
  </w:num>
  <w:num w:numId="7">
    <w:abstractNumId w:val="18"/>
  </w:num>
  <w:num w:numId="8">
    <w:abstractNumId w:val="5"/>
  </w:num>
  <w:num w:numId="9">
    <w:abstractNumId w:val="22"/>
  </w:num>
  <w:num w:numId="10">
    <w:abstractNumId w:val="10"/>
  </w:num>
  <w:num w:numId="11">
    <w:abstractNumId w:val="15"/>
  </w:num>
  <w:num w:numId="12">
    <w:abstractNumId w:val="0"/>
  </w:num>
  <w:num w:numId="13">
    <w:abstractNumId w:val="19"/>
  </w:num>
  <w:num w:numId="14">
    <w:abstractNumId w:val="19"/>
  </w:num>
  <w:num w:numId="15">
    <w:abstractNumId w:val="19"/>
  </w:num>
  <w:num w:numId="16">
    <w:abstractNumId w:val="19"/>
  </w:num>
  <w:num w:numId="17">
    <w:abstractNumId w:val="19"/>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8"/>
  </w:num>
  <w:num w:numId="22">
    <w:abstractNumId w:val="2"/>
  </w:num>
  <w:num w:numId="23">
    <w:abstractNumId w:val="3"/>
  </w:num>
  <w:num w:numId="24">
    <w:abstractNumId w:val="1"/>
    <w:lvlOverride w:ilvl="0">
      <w:lvl w:ilvl="0">
        <w:numFmt w:val="lowerLetter"/>
        <w:lvlText w:val="%1."/>
        <w:lvlJc w:val="left"/>
      </w:lvl>
    </w:lvlOverride>
  </w:num>
  <w:num w:numId="25">
    <w:abstractNumId w:val="4"/>
    <w:lvlOverride w:ilvl="0">
      <w:lvl w:ilvl="0">
        <w:numFmt w:val="lowerRoman"/>
        <w:lvlText w:val="%1."/>
        <w:lvlJc w:val="right"/>
        <w:rPr>
          <w:i/>
          <w:color w:val="808080" w:themeColor="background1" w:themeShade="80"/>
        </w:rPr>
      </w:lvl>
    </w:lvlOverride>
  </w:num>
  <w:num w:numId="26">
    <w:abstractNumId w:val="21"/>
  </w:num>
  <w:num w:numId="27">
    <w:abstractNumId w:val="12"/>
  </w:num>
  <w:num w:numId="28">
    <w:abstractNumId w:val="9"/>
  </w:num>
  <w:num w:numId="29">
    <w:abstractNumId w:val="6"/>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240A"/>
    <w:rsid w:val="00005B65"/>
    <w:rsid w:val="000144E1"/>
    <w:rsid w:val="0001571C"/>
    <w:rsid w:val="00036FD2"/>
    <w:rsid w:val="000406E8"/>
    <w:rsid w:val="00041244"/>
    <w:rsid w:val="00041D5F"/>
    <w:rsid w:val="00042DCB"/>
    <w:rsid w:val="000432EC"/>
    <w:rsid w:val="00057E58"/>
    <w:rsid w:val="00064C33"/>
    <w:rsid w:val="0006529E"/>
    <w:rsid w:val="00066746"/>
    <w:rsid w:val="000718EC"/>
    <w:rsid w:val="000750CF"/>
    <w:rsid w:val="00076287"/>
    <w:rsid w:val="0008015B"/>
    <w:rsid w:val="00093523"/>
    <w:rsid w:val="000968F7"/>
    <w:rsid w:val="000A3625"/>
    <w:rsid w:val="000A4930"/>
    <w:rsid w:val="000B1334"/>
    <w:rsid w:val="000C41E4"/>
    <w:rsid w:val="000C6D1C"/>
    <w:rsid w:val="000D5CB4"/>
    <w:rsid w:val="000E504D"/>
    <w:rsid w:val="00101263"/>
    <w:rsid w:val="001046A4"/>
    <w:rsid w:val="00107E51"/>
    <w:rsid w:val="00112EBD"/>
    <w:rsid w:val="0011373A"/>
    <w:rsid w:val="001266DB"/>
    <w:rsid w:val="00131CE0"/>
    <w:rsid w:val="00134307"/>
    <w:rsid w:val="0013629C"/>
    <w:rsid w:val="00144DFE"/>
    <w:rsid w:val="00146CEE"/>
    <w:rsid w:val="0015305D"/>
    <w:rsid w:val="0015555E"/>
    <w:rsid w:val="00155CB0"/>
    <w:rsid w:val="001710F0"/>
    <w:rsid w:val="001760D1"/>
    <w:rsid w:val="00177590"/>
    <w:rsid w:val="00182338"/>
    <w:rsid w:val="00186722"/>
    <w:rsid w:val="00190E06"/>
    <w:rsid w:val="00192190"/>
    <w:rsid w:val="0019349C"/>
    <w:rsid w:val="001A1DEB"/>
    <w:rsid w:val="001A57B2"/>
    <w:rsid w:val="001B0316"/>
    <w:rsid w:val="001B0548"/>
    <w:rsid w:val="001B0F05"/>
    <w:rsid w:val="001C2513"/>
    <w:rsid w:val="001C5CD8"/>
    <w:rsid w:val="001D0A60"/>
    <w:rsid w:val="001D453A"/>
    <w:rsid w:val="001D48A6"/>
    <w:rsid w:val="001E2EB1"/>
    <w:rsid w:val="001F4217"/>
    <w:rsid w:val="00200431"/>
    <w:rsid w:val="00202991"/>
    <w:rsid w:val="00214401"/>
    <w:rsid w:val="00214631"/>
    <w:rsid w:val="002316F0"/>
    <w:rsid w:val="00246D61"/>
    <w:rsid w:val="002531D3"/>
    <w:rsid w:val="00253A12"/>
    <w:rsid w:val="00263F5C"/>
    <w:rsid w:val="002654B9"/>
    <w:rsid w:val="00267EA5"/>
    <w:rsid w:val="002768DF"/>
    <w:rsid w:val="0027773B"/>
    <w:rsid w:val="002877D3"/>
    <w:rsid w:val="0029395C"/>
    <w:rsid w:val="00297C82"/>
    <w:rsid w:val="002A0498"/>
    <w:rsid w:val="002B232C"/>
    <w:rsid w:val="002B3235"/>
    <w:rsid w:val="002B697E"/>
    <w:rsid w:val="002B69A6"/>
    <w:rsid w:val="002C0ED4"/>
    <w:rsid w:val="002C12C4"/>
    <w:rsid w:val="002D7B4C"/>
    <w:rsid w:val="002E0D71"/>
    <w:rsid w:val="002F03E4"/>
    <w:rsid w:val="002F3D14"/>
    <w:rsid w:val="002F3DEC"/>
    <w:rsid w:val="003016A8"/>
    <w:rsid w:val="00301A8C"/>
    <w:rsid w:val="00302B8B"/>
    <w:rsid w:val="003136EF"/>
    <w:rsid w:val="00321083"/>
    <w:rsid w:val="003354EF"/>
    <w:rsid w:val="003379E0"/>
    <w:rsid w:val="0034251C"/>
    <w:rsid w:val="00346C5D"/>
    <w:rsid w:val="00351E0E"/>
    <w:rsid w:val="0035581B"/>
    <w:rsid w:val="00363911"/>
    <w:rsid w:val="00373C82"/>
    <w:rsid w:val="00377A05"/>
    <w:rsid w:val="003828ED"/>
    <w:rsid w:val="003B2BD8"/>
    <w:rsid w:val="003B2F69"/>
    <w:rsid w:val="003B6830"/>
    <w:rsid w:val="003B7362"/>
    <w:rsid w:val="003B7A46"/>
    <w:rsid w:val="003C1A3E"/>
    <w:rsid w:val="003C72EB"/>
    <w:rsid w:val="003D3E87"/>
    <w:rsid w:val="003E1CFD"/>
    <w:rsid w:val="003E29D8"/>
    <w:rsid w:val="003E6EC7"/>
    <w:rsid w:val="003F4BA9"/>
    <w:rsid w:val="00402C00"/>
    <w:rsid w:val="00410F82"/>
    <w:rsid w:val="00413C2D"/>
    <w:rsid w:val="00416586"/>
    <w:rsid w:val="004202C0"/>
    <w:rsid w:val="00430277"/>
    <w:rsid w:val="004303DA"/>
    <w:rsid w:val="004349E0"/>
    <w:rsid w:val="00436DF9"/>
    <w:rsid w:val="00441F6A"/>
    <w:rsid w:val="00443BCB"/>
    <w:rsid w:val="00447C09"/>
    <w:rsid w:val="00457D8D"/>
    <w:rsid w:val="00461C56"/>
    <w:rsid w:val="00467AF4"/>
    <w:rsid w:val="004715C4"/>
    <w:rsid w:val="00471A5F"/>
    <w:rsid w:val="00471E52"/>
    <w:rsid w:val="00475B80"/>
    <w:rsid w:val="004861E1"/>
    <w:rsid w:val="00487BB8"/>
    <w:rsid w:val="0049025F"/>
    <w:rsid w:val="004913D2"/>
    <w:rsid w:val="0049388D"/>
    <w:rsid w:val="00495245"/>
    <w:rsid w:val="00496AE4"/>
    <w:rsid w:val="004A2FB2"/>
    <w:rsid w:val="004A3DF6"/>
    <w:rsid w:val="004A7E4D"/>
    <w:rsid w:val="004B2518"/>
    <w:rsid w:val="004B26E7"/>
    <w:rsid w:val="004D0B64"/>
    <w:rsid w:val="004E326F"/>
    <w:rsid w:val="004E68DE"/>
    <w:rsid w:val="004F16A5"/>
    <w:rsid w:val="005104FF"/>
    <w:rsid w:val="00511405"/>
    <w:rsid w:val="005165C1"/>
    <w:rsid w:val="0052521C"/>
    <w:rsid w:val="005440C5"/>
    <w:rsid w:val="00547FB7"/>
    <w:rsid w:val="00556DCD"/>
    <w:rsid w:val="00566CFE"/>
    <w:rsid w:val="00572C29"/>
    <w:rsid w:val="005824A5"/>
    <w:rsid w:val="00587609"/>
    <w:rsid w:val="00587E2E"/>
    <w:rsid w:val="00591AC5"/>
    <w:rsid w:val="005936D5"/>
    <w:rsid w:val="0059447E"/>
    <w:rsid w:val="00595B15"/>
    <w:rsid w:val="00595C0F"/>
    <w:rsid w:val="00597494"/>
    <w:rsid w:val="005A1ADD"/>
    <w:rsid w:val="005A24AD"/>
    <w:rsid w:val="005A42A4"/>
    <w:rsid w:val="005A620C"/>
    <w:rsid w:val="005C17B9"/>
    <w:rsid w:val="005C6375"/>
    <w:rsid w:val="005C78AB"/>
    <w:rsid w:val="005D1FAB"/>
    <w:rsid w:val="005D4295"/>
    <w:rsid w:val="005E00B4"/>
    <w:rsid w:val="005E4BFA"/>
    <w:rsid w:val="005F1202"/>
    <w:rsid w:val="005F1AC3"/>
    <w:rsid w:val="005F32C9"/>
    <w:rsid w:val="005F367D"/>
    <w:rsid w:val="005F48F9"/>
    <w:rsid w:val="00613CC3"/>
    <w:rsid w:val="0061639B"/>
    <w:rsid w:val="0063189A"/>
    <w:rsid w:val="0064782D"/>
    <w:rsid w:val="00651756"/>
    <w:rsid w:val="00656291"/>
    <w:rsid w:val="0065673D"/>
    <w:rsid w:val="0066306F"/>
    <w:rsid w:val="0066353E"/>
    <w:rsid w:val="00670A42"/>
    <w:rsid w:val="00670D80"/>
    <w:rsid w:val="006713AE"/>
    <w:rsid w:val="0067232E"/>
    <w:rsid w:val="006752E1"/>
    <w:rsid w:val="00676AF2"/>
    <w:rsid w:val="006820D5"/>
    <w:rsid w:val="00683D5E"/>
    <w:rsid w:val="006874DB"/>
    <w:rsid w:val="00694298"/>
    <w:rsid w:val="006A054E"/>
    <w:rsid w:val="006A2ED2"/>
    <w:rsid w:val="006B00BE"/>
    <w:rsid w:val="006C1911"/>
    <w:rsid w:val="006C209B"/>
    <w:rsid w:val="006C533B"/>
    <w:rsid w:val="006C5660"/>
    <w:rsid w:val="006D081E"/>
    <w:rsid w:val="006D2646"/>
    <w:rsid w:val="006D3606"/>
    <w:rsid w:val="006D40CF"/>
    <w:rsid w:val="006E1FAE"/>
    <w:rsid w:val="006F1E75"/>
    <w:rsid w:val="006F2388"/>
    <w:rsid w:val="006F2522"/>
    <w:rsid w:val="006F32F5"/>
    <w:rsid w:val="006F6EE1"/>
    <w:rsid w:val="00701D32"/>
    <w:rsid w:val="0070759F"/>
    <w:rsid w:val="0071031C"/>
    <w:rsid w:val="0072048B"/>
    <w:rsid w:val="00722787"/>
    <w:rsid w:val="007244EA"/>
    <w:rsid w:val="007348CC"/>
    <w:rsid w:val="007373C9"/>
    <w:rsid w:val="0074451B"/>
    <w:rsid w:val="00751B72"/>
    <w:rsid w:val="0075228C"/>
    <w:rsid w:val="007523B5"/>
    <w:rsid w:val="00755FF0"/>
    <w:rsid w:val="00766EAB"/>
    <w:rsid w:val="007738D9"/>
    <w:rsid w:val="007803B4"/>
    <w:rsid w:val="00785D8C"/>
    <w:rsid w:val="007870A5"/>
    <w:rsid w:val="007915D0"/>
    <w:rsid w:val="007953F6"/>
    <w:rsid w:val="00797D8C"/>
    <w:rsid w:val="00797F28"/>
    <w:rsid w:val="007A4AC0"/>
    <w:rsid w:val="007B226D"/>
    <w:rsid w:val="007B3683"/>
    <w:rsid w:val="007D3AA6"/>
    <w:rsid w:val="007D4F34"/>
    <w:rsid w:val="007E4EBB"/>
    <w:rsid w:val="007F3F39"/>
    <w:rsid w:val="007F4172"/>
    <w:rsid w:val="00801A90"/>
    <w:rsid w:val="00803419"/>
    <w:rsid w:val="00803E8B"/>
    <w:rsid w:val="008111D2"/>
    <w:rsid w:val="00812B35"/>
    <w:rsid w:val="008175F6"/>
    <w:rsid w:val="008239AA"/>
    <w:rsid w:val="00825474"/>
    <w:rsid w:val="00826D8F"/>
    <w:rsid w:val="008346F6"/>
    <w:rsid w:val="00837A19"/>
    <w:rsid w:val="00847E24"/>
    <w:rsid w:val="008577D2"/>
    <w:rsid w:val="008629FB"/>
    <w:rsid w:val="00863274"/>
    <w:rsid w:val="00865380"/>
    <w:rsid w:val="00870389"/>
    <w:rsid w:val="008715EA"/>
    <w:rsid w:val="00871FB4"/>
    <w:rsid w:val="008834EC"/>
    <w:rsid w:val="00883679"/>
    <w:rsid w:val="008852CA"/>
    <w:rsid w:val="008853BC"/>
    <w:rsid w:val="00885D72"/>
    <w:rsid w:val="00890A33"/>
    <w:rsid w:val="008926FB"/>
    <w:rsid w:val="00892FBC"/>
    <w:rsid w:val="00894E7A"/>
    <w:rsid w:val="008A53BD"/>
    <w:rsid w:val="008A5D47"/>
    <w:rsid w:val="008B2322"/>
    <w:rsid w:val="008B7B03"/>
    <w:rsid w:val="008C2334"/>
    <w:rsid w:val="008D7F75"/>
    <w:rsid w:val="00902962"/>
    <w:rsid w:val="00906CDE"/>
    <w:rsid w:val="009149A3"/>
    <w:rsid w:val="00933591"/>
    <w:rsid w:val="00933B56"/>
    <w:rsid w:val="0093621D"/>
    <w:rsid w:val="00937B97"/>
    <w:rsid w:val="00950DDC"/>
    <w:rsid w:val="00955814"/>
    <w:rsid w:val="00956499"/>
    <w:rsid w:val="009577AF"/>
    <w:rsid w:val="00957DB8"/>
    <w:rsid w:val="00961325"/>
    <w:rsid w:val="00963A85"/>
    <w:rsid w:val="00980601"/>
    <w:rsid w:val="009812F6"/>
    <w:rsid w:val="0098335F"/>
    <w:rsid w:val="009915E0"/>
    <w:rsid w:val="009A0F22"/>
    <w:rsid w:val="009A58C1"/>
    <w:rsid w:val="009A61E2"/>
    <w:rsid w:val="009B038A"/>
    <w:rsid w:val="009B1522"/>
    <w:rsid w:val="009B27F8"/>
    <w:rsid w:val="009B3B28"/>
    <w:rsid w:val="009D293E"/>
    <w:rsid w:val="009D7511"/>
    <w:rsid w:val="009F0AA1"/>
    <w:rsid w:val="009F52C9"/>
    <w:rsid w:val="00A0021C"/>
    <w:rsid w:val="00A01017"/>
    <w:rsid w:val="00A10A3C"/>
    <w:rsid w:val="00A13869"/>
    <w:rsid w:val="00A15D32"/>
    <w:rsid w:val="00A21F2A"/>
    <w:rsid w:val="00A24AEA"/>
    <w:rsid w:val="00A25EEA"/>
    <w:rsid w:val="00A27C4B"/>
    <w:rsid w:val="00A309AF"/>
    <w:rsid w:val="00A35798"/>
    <w:rsid w:val="00A36917"/>
    <w:rsid w:val="00A44AE4"/>
    <w:rsid w:val="00A44E78"/>
    <w:rsid w:val="00A5101A"/>
    <w:rsid w:val="00A51837"/>
    <w:rsid w:val="00A5550D"/>
    <w:rsid w:val="00A61EF3"/>
    <w:rsid w:val="00A6734A"/>
    <w:rsid w:val="00A67366"/>
    <w:rsid w:val="00A67B2B"/>
    <w:rsid w:val="00A72EEE"/>
    <w:rsid w:val="00A83294"/>
    <w:rsid w:val="00A90DFF"/>
    <w:rsid w:val="00A965EA"/>
    <w:rsid w:val="00AA17EC"/>
    <w:rsid w:val="00AA50CF"/>
    <w:rsid w:val="00AB2FCA"/>
    <w:rsid w:val="00AC15FA"/>
    <w:rsid w:val="00AC372E"/>
    <w:rsid w:val="00AD30D5"/>
    <w:rsid w:val="00AE3A43"/>
    <w:rsid w:val="00AE6B4B"/>
    <w:rsid w:val="00AF200C"/>
    <w:rsid w:val="00AF7CF9"/>
    <w:rsid w:val="00B021B3"/>
    <w:rsid w:val="00B05AC8"/>
    <w:rsid w:val="00B14CE2"/>
    <w:rsid w:val="00B22AD3"/>
    <w:rsid w:val="00B275FA"/>
    <w:rsid w:val="00B37D99"/>
    <w:rsid w:val="00B37F68"/>
    <w:rsid w:val="00B4625B"/>
    <w:rsid w:val="00B519DB"/>
    <w:rsid w:val="00B60B6D"/>
    <w:rsid w:val="00B62D6A"/>
    <w:rsid w:val="00B64DD8"/>
    <w:rsid w:val="00B70C7C"/>
    <w:rsid w:val="00B72568"/>
    <w:rsid w:val="00B729EE"/>
    <w:rsid w:val="00B75AF7"/>
    <w:rsid w:val="00B77B90"/>
    <w:rsid w:val="00B80B1E"/>
    <w:rsid w:val="00BA2CAF"/>
    <w:rsid w:val="00BB1783"/>
    <w:rsid w:val="00BB3254"/>
    <w:rsid w:val="00BB7DC6"/>
    <w:rsid w:val="00BC6B48"/>
    <w:rsid w:val="00BC7CA2"/>
    <w:rsid w:val="00BD622B"/>
    <w:rsid w:val="00BD661B"/>
    <w:rsid w:val="00BE2EBF"/>
    <w:rsid w:val="00BF1140"/>
    <w:rsid w:val="00BF515D"/>
    <w:rsid w:val="00C02730"/>
    <w:rsid w:val="00C0589A"/>
    <w:rsid w:val="00C162D4"/>
    <w:rsid w:val="00C2282A"/>
    <w:rsid w:val="00C22C7F"/>
    <w:rsid w:val="00C25F01"/>
    <w:rsid w:val="00C32073"/>
    <w:rsid w:val="00C448B9"/>
    <w:rsid w:val="00C476A3"/>
    <w:rsid w:val="00C47D58"/>
    <w:rsid w:val="00C54274"/>
    <w:rsid w:val="00C57E03"/>
    <w:rsid w:val="00C63FD9"/>
    <w:rsid w:val="00C6452F"/>
    <w:rsid w:val="00C734EF"/>
    <w:rsid w:val="00C801BA"/>
    <w:rsid w:val="00C87209"/>
    <w:rsid w:val="00C911C6"/>
    <w:rsid w:val="00C9335B"/>
    <w:rsid w:val="00C954D9"/>
    <w:rsid w:val="00C97FC5"/>
    <w:rsid w:val="00CA245F"/>
    <w:rsid w:val="00CA3FD7"/>
    <w:rsid w:val="00CA7F67"/>
    <w:rsid w:val="00CB1FDA"/>
    <w:rsid w:val="00CB234F"/>
    <w:rsid w:val="00CC0A2A"/>
    <w:rsid w:val="00CC0D6E"/>
    <w:rsid w:val="00CC4921"/>
    <w:rsid w:val="00CC51E5"/>
    <w:rsid w:val="00CC6BDE"/>
    <w:rsid w:val="00CE1DD4"/>
    <w:rsid w:val="00CE213B"/>
    <w:rsid w:val="00CE5644"/>
    <w:rsid w:val="00CF58E3"/>
    <w:rsid w:val="00D01EDE"/>
    <w:rsid w:val="00D13747"/>
    <w:rsid w:val="00D13C9F"/>
    <w:rsid w:val="00D14445"/>
    <w:rsid w:val="00D30A07"/>
    <w:rsid w:val="00D3253C"/>
    <w:rsid w:val="00D43692"/>
    <w:rsid w:val="00D43999"/>
    <w:rsid w:val="00D44E3B"/>
    <w:rsid w:val="00D45273"/>
    <w:rsid w:val="00D52E56"/>
    <w:rsid w:val="00D55ABE"/>
    <w:rsid w:val="00D70F88"/>
    <w:rsid w:val="00D76342"/>
    <w:rsid w:val="00DA0BEF"/>
    <w:rsid w:val="00DB3C61"/>
    <w:rsid w:val="00DD09B1"/>
    <w:rsid w:val="00DD301F"/>
    <w:rsid w:val="00DD6850"/>
    <w:rsid w:val="00DD7439"/>
    <w:rsid w:val="00DE1763"/>
    <w:rsid w:val="00DE6132"/>
    <w:rsid w:val="00DF19F5"/>
    <w:rsid w:val="00DF43C1"/>
    <w:rsid w:val="00E03C65"/>
    <w:rsid w:val="00E07862"/>
    <w:rsid w:val="00E276BF"/>
    <w:rsid w:val="00E3203F"/>
    <w:rsid w:val="00E32BC3"/>
    <w:rsid w:val="00E45FA0"/>
    <w:rsid w:val="00E463FD"/>
    <w:rsid w:val="00E51021"/>
    <w:rsid w:val="00E52F0C"/>
    <w:rsid w:val="00E53C32"/>
    <w:rsid w:val="00E565A7"/>
    <w:rsid w:val="00E6017F"/>
    <w:rsid w:val="00E61EEB"/>
    <w:rsid w:val="00E67293"/>
    <w:rsid w:val="00E74245"/>
    <w:rsid w:val="00E75421"/>
    <w:rsid w:val="00E82D86"/>
    <w:rsid w:val="00E970BF"/>
    <w:rsid w:val="00EA40BA"/>
    <w:rsid w:val="00EC1D87"/>
    <w:rsid w:val="00EC63C4"/>
    <w:rsid w:val="00ED35EF"/>
    <w:rsid w:val="00ED388A"/>
    <w:rsid w:val="00ED4347"/>
    <w:rsid w:val="00ED6E77"/>
    <w:rsid w:val="00EE3E0A"/>
    <w:rsid w:val="00EE5771"/>
    <w:rsid w:val="00EE7378"/>
    <w:rsid w:val="00EF584F"/>
    <w:rsid w:val="00F2301F"/>
    <w:rsid w:val="00F308CF"/>
    <w:rsid w:val="00F32886"/>
    <w:rsid w:val="00F369FF"/>
    <w:rsid w:val="00F437C1"/>
    <w:rsid w:val="00F46602"/>
    <w:rsid w:val="00F51CAB"/>
    <w:rsid w:val="00F51EE9"/>
    <w:rsid w:val="00F805D0"/>
    <w:rsid w:val="00F827A5"/>
    <w:rsid w:val="00FA2FC3"/>
    <w:rsid w:val="00FA31A6"/>
    <w:rsid w:val="00FA6C9F"/>
    <w:rsid w:val="00FB32DA"/>
    <w:rsid w:val="00FC189E"/>
    <w:rsid w:val="00FC4329"/>
    <w:rsid w:val="00FD221E"/>
    <w:rsid w:val="00FD656A"/>
    <w:rsid w:val="00FE2EF5"/>
    <w:rsid w:val="00FE3B8D"/>
    <w:rsid w:val="00FE5DEE"/>
    <w:rsid w:val="00FE69E7"/>
    <w:rsid w:val="00FF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link w:val="Heading1Char"/>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8853BC"/>
    <w:pPr>
      <w:tabs>
        <w:tab w:val="left" w:pos="180"/>
        <w:tab w:val="right" w:leader="dot" w:pos="9029"/>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uiPriority w:val="99"/>
    <w:semiHidden/>
    <w:rsid w:val="00613CC3"/>
    <w:rPr>
      <w:sz w:val="16"/>
      <w:szCs w:val="16"/>
    </w:rPr>
  </w:style>
  <w:style w:type="paragraph" w:styleId="CommentText">
    <w:name w:val="annotation text"/>
    <w:basedOn w:val="Normal"/>
    <w:link w:val="CommentTextChar"/>
    <w:uiPriority w:val="99"/>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402C00"/>
    <w:pPr>
      <w:keepNext/>
      <w:keepLines/>
      <w:pageBreakBefore/>
      <w:spacing w:after="24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34"/>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3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B4625B"/>
    <w:rPr>
      <w:rFonts w:ascii="Arial" w:hAnsi="Arial"/>
      <w:b/>
      <w:spacing w:val="-10"/>
      <w:kern w:val="28"/>
      <w:sz w:val="24"/>
    </w:rPr>
  </w:style>
  <w:style w:type="character" w:customStyle="1" w:styleId="UnresolvedMention1">
    <w:name w:val="Unresolved Mention1"/>
    <w:basedOn w:val="DefaultParagraphFont"/>
    <w:uiPriority w:val="99"/>
    <w:semiHidden/>
    <w:unhideWhenUsed/>
    <w:rsid w:val="00A83294"/>
    <w:rPr>
      <w:color w:val="605E5C"/>
      <w:shd w:val="clear" w:color="auto" w:fill="E1DFDD"/>
    </w:rPr>
  </w:style>
  <w:style w:type="character" w:customStyle="1" w:styleId="UnresolvedMention2">
    <w:name w:val="Unresolved Mention2"/>
    <w:basedOn w:val="DefaultParagraphFont"/>
    <w:uiPriority w:val="99"/>
    <w:semiHidden/>
    <w:unhideWhenUsed/>
    <w:rsid w:val="005824A5"/>
    <w:rPr>
      <w:color w:val="605E5C"/>
      <w:shd w:val="clear" w:color="auto" w:fill="E1DFDD"/>
    </w:rPr>
  </w:style>
  <w:style w:type="character" w:customStyle="1" w:styleId="CommentTextChar">
    <w:name w:val="Comment Text Char"/>
    <w:basedOn w:val="DefaultParagraphFont"/>
    <w:link w:val="CommentText"/>
    <w:uiPriority w:val="99"/>
    <w:rsid w:val="002B3235"/>
    <w:rPr>
      <w:rFonts w:ascii="Arial" w:hAnsi="Arial"/>
    </w:rPr>
  </w:style>
  <w:style w:type="character" w:customStyle="1" w:styleId="UnresolvedMention">
    <w:name w:val="Unresolved Mention"/>
    <w:basedOn w:val="DefaultParagraphFont"/>
    <w:uiPriority w:val="99"/>
    <w:semiHidden/>
    <w:unhideWhenUsed/>
    <w:rsid w:val="00D55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327445209">
      <w:bodyDiv w:val="1"/>
      <w:marLeft w:val="0"/>
      <w:marRight w:val="0"/>
      <w:marTop w:val="0"/>
      <w:marBottom w:val="0"/>
      <w:divBdr>
        <w:top w:val="none" w:sz="0" w:space="0" w:color="auto"/>
        <w:left w:val="none" w:sz="0" w:space="0" w:color="auto"/>
        <w:bottom w:val="none" w:sz="0" w:space="0" w:color="auto"/>
        <w:right w:val="none" w:sz="0" w:space="0" w:color="auto"/>
      </w:divBdr>
    </w:div>
    <w:div w:id="383332909">
      <w:bodyDiv w:val="1"/>
      <w:marLeft w:val="0"/>
      <w:marRight w:val="0"/>
      <w:marTop w:val="0"/>
      <w:marBottom w:val="0"/>
      <w:divBdr>
        <w:top w:val="none" w:sz="0" w:space="0" w:color="auto"/>
        <w:left w:val="none" w:sz="0" w:space="0" w:color="auto"/>
        <w:bottom w:val="none" w:sz="0" w:space="0" w:color="auto"/>
        <w:right w:val="none" w:sz="0" w:space="0" w:color="auto"/>
      </w:divBdr>
    </w:div>
    <w:div w:id="420956243">
      <w:bodyDiv w:val="1"/>
      <w:marLeft w:val="0"/>
      <w:marRight w:val="0"/>
      <w:marTop w:val="0"/>
      <w:marBottom w:val="0"/>
      <w:divBdr>
        <w:top w:val="none" w:sz="0" w:space="0" w:color="auto"/>
        <w:left w:val="none" w:sz="0" w:space="0" w:color="auto"/>
        <w:bottom w:val="none" w:sz="0" w:space="0" w:color="auto"/>
        <w:right w:val="none" w:sz="0" w:space="0" w:color="auto"/>
      </w:divBdr>
    </w:div>
    <w:div w:id="428045891">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515928939">
      <w:bodyDiv w:val="1"/>
      <w:marLeft w:val="0"/>
      <w:marRight w:val="0"/>
      <w:marTop w:val="0"/>
      <w:marBottom w:val="0"/>
      <w:divBdr>
        <w:top w:val="none" w:sz="0" w:space="0" w:color="auto"/>
        <w:left w:val="none" w:sz="0" w:space="0" w:color="auto"/>
        <w:bottom w:val="none" w:sz="0" w:space="0" w:color="auto"/>
        <w:right w:val="none" w:sz="0" w:space="0" w:color="auto"/>
      </w:divBdr>
    </w:div>
    <w:div w:id="563293702">
      <w:bodyDiv w:val="1"/>
      <w:marLeft w:val="0"/>
      <w:marRight w:val="0"/>
      <w:marTop w:val="0"/>
      <w:marBottom w:val="0"/>
      <w:divBdr>
        <w:top w:val="none" w:sz="0" w:space="0" w:color="auto"/>
        <w:left w:val="none" w:sz="0" w:space="0" w:color="auto"/>
        <w:bottom w:val="none" w:sz="0" w:space="0" w:color="auto"/>
        <w:right w:val="none" w:sz="0" w:space="0" w:color="auto"/>
      </w:divBdr>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887647430">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22826081">
      <w:bodyDiv w:val="1"/>
      <w:marLeft w:val="0"/>
      <w:marRight w:val="0"/>
      <w:marTop w:val="0"/>
      <w:marBottom w:val="0"/>
      <w:divBdr>
        <w:top w:val="none" w:sz="0" w:space="0" w:color="auto"/>
        <w:left w:val="none" w:sz="0" w:space="0" w:color="auto"/>
        <w:bottom w:val="none" w:sz="0" w:space="0" w:color="auto"/>
        <w:right w:val="none" w:sz="0" w:space="0" w:color="auto"/>
      </w:divBdr>
    </w:div>
    <w:div w:id="1037197252">
      <w:bodyDiv w:val="1"/>
      <w:marLeft w:val="0"/>
      <w:marRight w:val="0"/>
      <w:marTop w:val="0"/>
      <w:marBottom w:val="0"/>
      <w:divBdr>
        <w:top w:val="none" w:sz="0" w:space="0" w:color="auto"/>
        <w:left w:val="none" w:sz="0" w:space="0" w:color="auto"/>
        <w:bottom w:val="none" w:sz="0" w:space="0" w:color="auto"/>
        <w:right w:val="none" w:sz="0" w:space="0" w:color="auto"/>
      </w:divBdr>
    </w:div>
    <w:div w:id="1063017699">
      <w:bodyDiv w:val="1"/>
      <w:marLeft w:val="0"/>
      <w:marRight w:val="0"/>
      <w:marTop w:val="0"/>
      <w:marBottom w:val="0"/>
      <w:divBdr>
        <w:top w:val="none" w:sz="0" w:space="0" w:color="auto"/>
        <w:left w:val="none" w:sz="0" w:space="0" w:color="auto"/>
        <w:bottom w:val="none" w:sz="0" w:space="0" w:color="auto"/>
        <w:right w:val="none" w:sz="0" w:space="0" w:color="auto"/>
      </w:divBdr>
    </w:div>
    <w:div w:id="1080373875">
      <w:bodyDiv w:val="1"/>
      <w:marLeft w:val="0"/>
      <w:marRight w:val="0"/>
      <w:marTop w:val="0"/>
      <w:marBottom w:val="0"/>
      <w:divBdr>
        <w:top w:val="none" w:sz="0" w:space="0" w:color="auto"/>
        <w:left w:val="none" w:sz="0" w:space="0" w:color="auto"/>
        <w:bottom w:val="none" w:sz="0" w:space="0" w:color="auto"/>
        <w:right w:val="none" w:sz="0" w:space="0" w:color="auto"/>
      </w:divBdr>
    </w:div>
    <w:div w:id="1112243649">
      <w:bodyDiv w:val="1"/>
      <w:marLeft w:val="0"/>
      <w:marRight w:val="0"/>
      <w:marTop w:val="0"/>
      <w:marBottom w:val="0"/>
      <w:divBdr>
        <w:top w:val="none" w:sz="0" w:space="0" w:color="auto"/>
        <w:left w:val="none" w:sz="0" w:space="0" w:color="auto"/>
        <w:bottom w:val="none" w:sz="0" w:space="0" w:color="auto"/>
        <w:right w:val="none" w:sz="0" w:space="0" w:color="auto"/>
      </w:divBdr>
    </w:div>
    <w:div w:id="1348484380">
      <w:bodyDiv w:val="1"/>
      <w:marLeft w:val="0"/>
      <w:marRight w:val="0"/>
      <w:marTop w:val="0"/>
      <w:marBottom w:val="0"/>
      <w:divBdr>
        <w:top w:val="none" w:sz="0" w:space="0" w:color="auto"/>
        <w:left w:val="none" w:sz="0" w:space="0" w:color="auto"/>
        <w:bottom w:val="none" w:sz="0" w:space="0" w:color="auto"/>
        <w:right w:val="none" w:sz="0" w:space="0" w:color="auto"/>
      </w:divBdr>
    </w:div>
    <w:div w:id="1352216925">
      <w:bodyDiv w:val="1"/>
      <w:marLeft w:val="0"/>
      <w:marRight w:val="0"/>
      <w:marTop w:val="0"/>
      <w:marBottom w:val="0"/>
      <w:divBdr>
        <w:top w:val="none" w:sz="0" w:space="0" w:color="auto"/>
        <w:left w:val="none" w:sz="0" w:space="0" w:color="auto"/>
        <w:bottom w:val="none" w:sz="0" w:space="0" w:color="auto"/>
        <w:right w:val="none" w:sz="0" w:space="0" w:color="auto"/>
      </w:divBdr>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939382">
      <w:bodyDiv w:val="1"/>
      <w:marLeft w:val="0"/>
      <w:marRight w:val="0"/>
      <w:marTop w:val="0"/>
      <w:marBottom w:val="0"/>
      <w:divBdr>
        <w:top w:val="none" w:sz="0" w:space="0" w:color="auto"/>
        <w:left w:val="none" w:sz="0" w:space="0" w:color="auto"/>
        <w:bottom w:val="none" w:sz="0" w:space="0" w:color="auto"/>
        <w:right w:val="none" w:sz="0" w:space="0" w:color="auto"/>
      </w:divBdr>
    </w:div>
    <w:div w:id="1536846899">
      <w:bodyDiv w:val="1"/>
      <w:marLeft w:val="0"/>
      <w:marRight w:val="0"/>
      <w:marTop w:val="0"/>
      <w:marBottom w:val="0"/>
      <w:divBdr>
        <w:top w:val="none" w:sz="0" w:space="0" w:color="auto"/>
        <w:left w:val="none" w:sz="0" w:space="0" w:color="auto"/>
        <w:bottom w:val="none" w:sz="0" w:space="0" w:color="auto"/>
        <w:right w:val="none" w:sz="0" w:space="0" w:color="auto"/>
      </w:divBdr>
    </w:div>
    <w:div w:id="1585798510">
      <w:bodyDiv w:val="1"/>
      <w:marLeft w:val="0"/>
      <w:marRight w:val="0"/>
      <w:marTop w:val="0"/>
      <w:marBottom w:val="0"/>
      <w:divBdr>
        <w:top w:val="none" w:sz="0" w:space="0" w:color="auto"/>
        <w:left w:val="none" w:sz="0" w:space="0" w:color="auto"/>
        <w:bottom w:val="none" w:sz="0" w:space="0" w:color="auto"/>
        <w:right w:val="none" w:sz="0" w:space="0" w:color="auto"/>
      </w:divBdr>
    </w:div>
    <w:div w:id="1792900982">
      <w:bodyDiv w:val="1"/>
      <w:marLeft w:val="0"/>
      <w:marRight w:val="0"/>
      <w:marTop w:val="0"/>
      <w:marBottom w:val="0"/>
      <w:divBdr>
        <w:top w:val="none" w:sz="0" w:space="0" w:color="auto"/>
        <w:left w:val="none" w:sz="0" w:space="0" w:color="auto"/>
        <w:bottom w:val="none" w:sz="0" w:space="0" w:color="auto"/>
        <w:right w:val="none" w:sz="0" w:space="0" w:color="auto"/>
      </w:divBdr>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878657205">
      <w:bodyDiv w:val="1"/>
      <w:marLeft w:val="0"/>
      <w:marRight w:val="0"/>
      <w:marTop w:val="0"/>
      <w:marBottom w:val="0"/>
      <w:divBdr>
        <w:top w:val="none" w:sz="0" w:space="0" w:color="auto"/>
        <w:left w:val="none" w:sz="0" w:space="0" w:color="auto"/>
        <w:bottom w:val="none" w:sz="0" w:space="0" w:color="auto"/>
        <w:right w:val="none" w:sz="0" w:space="0" w:color="auto"/>
      </w:divBdr>
    </w:div>
    <w:div w:id="1883667874">
      <w:bodyDiv w:val="1"/>
      <w:marLeft w:val="0"/>
      <w:marRight w:val="0"/>
      <w:marTop w:val="0"/>
      <w:marBottom w:val="0"/>
      <w:divBdr>
        <w:top w:val="none" w:sz="0" w:space="0" w:color="auto"/>
        <w:left w:val="none" w:sz="0" w:space="0" w:color="auto"/>
        <w:bottom w:val="none" w:sz="0" w:space="0" w:color="auto"/>
        <w:right w:val="none" w:sz="0" w:space="0" w:color="auto"/>
      </w:divBdr>
    </w:div>
    <w:div w:id="1998681451">
      <w:bodyDiv w:val="1"/>
      <w:marLeft w:val="0"/>
      <w:marRight w:val="0"/>
      <w:marTop w:val="0"/>
      <w:marBottom w:val="0"/>
      <w:divBdr>
        <w:top w:val="none" w:sz="0" w:space="0" w:color="auto"/>
        <w:left w:val="none" w:sz="0" w:space="0" w:color="auto"/>
        <w:bottom w:val="none" w:sz="0" w:space="0" w:color="auto"/>
        <w:right w:val="none" w:sz="0" w:space="0" w:color="auto"/>
      </w:divBdr>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060DB150D3BC48A4629A4C4B549318"/>
        <w:category>
          <w:name w:val="General"/>
          <w:gallery w:val="placeholder"/>
        </w:category>
        <w:types>
          <w:type w:val="bbPlcHdr"/>
        </w:types>
        <w:behaviors>
          <w:behavior w:val="content"/>
        </w:behaviors>
        <w:guid w:val="{74AC0E8D-F588-DF4F-99E9-E99C78EBE1B9}"/>
      </w:docPartPr>
      <w:docPartBody>
        <w:p w:rsidR="001E248D" w:rsidRDefault="00F6543E" w:rsidP="00F6543E">
          <w:pPr>
            <w:pStyle w:val="76060DB150D3BC48A4629A4C4B549318"/>
          </w:pPr>
          <w:r w:rsidRPr="003A1044">
            <w:rPr>
              <w:rStyle w:val="PlaceholderText"/>
            </w:rPr>
            <w:t>Click here to enter text.</w:t>
          </w:r>
        </w:p>
      </w:docPartBody>
    </w:docPart>
    <w:docPart>
      <w:docPartPr>
        <w:name w:val="591147B592FC944492067BCD99302FC1"/>
        <w:category>
          <w:name w:val="General"/>
          <w:gallery w:val="placeholder"/>
        </w:category>
        <w:types>
          <w:type w:val="bbPlcHdr"/>
        </w:types>
        <w:behaviors>
          <w:behavior w:val="content"/>
        </w:behaviors>
        <w:guid w:val="{14321A45-F22B-734A-A476-854079A6971F}"/>
      </w:docPartPr>
      <w:docPartBody>
        <w:p w:rsidR="001E248D" w:rsidRDefault="00F6543E" w:rsidP="00F6543E">
          <w:pPr>
            <w:pStyle w:val="591147B592FC944492067BCD99302FC1"/>
          </w:pPr>
          <w:r w:rsidRPr="003A1044">
            <w:rPr>
              <w:rStyle w:val="PlaceholderText"/>
            </w:rPr>
            <w:t>Click here to enter text.</w:t>
          </w:r>
        </w:p>
      </w:docPartBody>
    </w:docPart>
    <w:docPart>
      <w:docPartPr>
        <w:name w:val="8B1530553066544290F697A844532369"/>
        <w:category>
          <w:name w:val="General"/>
          <w:gallery w:val="placeholder"/>
        </w:category>
        <w:types>
          <w:type w:val="bbPlcHdr"/>
        </w:types>
        <w:behaviors>
          <w:behavior w:val="content"/>
        </w:behaviors>
        <w:guid w:val="{424F0769-77B5-9F4B-8640-B9B911B99B33}"/>
      </w:docPartPr>
      <w:docPartBody>
        <w:p w:rsidR="001E248D" w:rsidRDefault="00F6543E" w:rsidP="00F6543E">
          <w:pPr>
            <w:pStyle w:val="8B1530553066544290F697A844532369"/>
          </w:pPr>
          <w:r w:rsidRPr="003A1044">
            <w:rPr>
              <w:rStyle w:val="PlaceholderText"/>
            </w:rPr>
            <w:t>Click here to enter text.</w:t>
          </w:r>
        </w:p>
      </w:docPartBody>
    </w:docPart>
    <w:docPart>
      <w:docPartPr>
        <w:name w:val="A29205B90AA0DC4DA1A97795D32ED796"/>
        <w:category>
          <w:name w:val="General"/>
          <w:gallery w:val="placeholder"/>
        </w:category>
        <w:types>
          <w:type w:val="bbPlcHdr"/>
        </w:types>
        <w:behaviors>
          <w:behavior w:val="content"/>
        </w:behaviors>
        <w:guid w:val="{5F866DE8-1010-4349-A866-4E87FA6222D7}"/>
      </w:docPartPr>
      <w:docPartBody>
        <w:p w:rsidR="001E248D" w:rsidRDefault="00F6543E" w:rsidP="00F6543E">
          <w:pPr>
            <w:pStyle w:val="A29205B90AA0DC4DA1A97795D32ED796"/>
          </w:pPr>
          <w:r w:rsidRPr="003A1044">
            <w:rPr>
              <w:rStyle w:val="PlaceholderText"/>
            </w:rPr>
            <w:t>Click here to enter text.</w:t>
          </w:r>
        </w:p>
      </w:docPartBody>
    </w:docPart>
    <w:docPart>
      <w:docPartPr>
        <w:name w:val="3A5C495BAE266442A6BCEB338807D3E6"/>
        <w:category>
          <w:name w:val="General"/>
          <w:gallery w:val="placeholder"/>
        </w:category>
        <w:types>
          <w:type w:val="bbPlcHdr"/>
        </w:types>
        <w:behaviors>
          <w:behavior w:val="content"/>
        </w:behaviors>
        <w:guid w:val="{2A58E8C4-B263-944B-AC87-1C40FB3E00F2}"/>
      </w:docPartPr>
      <w:docPartBody>
        <w:p w:rsidR="001E248D" w:rsidRDefault="00F6543E" w:rsidP="00F6543E">
          <w:pPr>
            <w:pStyle w:val="3A5C495BAE266442A6BCEB338807D3E6"/>
          </w:pPr>
          <w:r w:rsidRPr="003A1044">
            <w:rPr>
              <w:rStyle w:val="PlaceholderText"/>
            </w:rPr>
            <w:t>Click here to enter text.</w:t>
          </w:r>
        </w:p>
      </w:docPartBody>
    </w:docPart>
    <w:docPart>
      <w:docPartPr>
        <w:name w:val="8094CB7B7C653C409C359C8CEF72EBC7"/>
        <w:category>
          <w:name w:val="General"/>
          <w:gallery w:val="placeholder"/>
        </w:category>
        <w:types>
          <w:type w:val="bbPlcHdr"/>
        </w:types>
        <w:behaviors>
          <w:behavior w:val="content"/>
        </w:behaviors>
        <w:guid w:val="{45EA37A5-B5A1-F346-B919-9E7CDADBAAE5}"/>
      </w:docPartPr>
      <w:docPartBody>
        <w:p w:rsidR="008925D0" w:rsidRDefault="003317B7" w:rsidP="003317B7">
          <w:pPr>
            <w:pStyle w:val="8094CB7B7C653C409C359C8CEF72EBC7"/>
          </w:pPr>
          <w:r w:rsidRPr="003A1044">
            <w:rPr>
              <w:rStyle w:val="PlaceholderText"/>
            </w:rPr>
            <w:t>Click here to enter text.</w:t>
          </w:r>
        </w:p>
      </w:docPartBody>
    </w:docPart>
    <w:docPart>
      <w:docPartPr>
        <w:name w:val="A97B34C2E8B36148AD667285C4B2FB5A"/>
        <w:category>
          <w:name w:val="General"/>
          <w:gallery w:val="placeholder"/>
        </w:category>
        <w:types>
          <w:type w:val="bbPlcHdr"/>
        </w:types>
        <w:behaviors>
          <w:behavior w:val="content"/>
        </w:behaviors>
        <w:guid w:val="{2280DA1E-42B5-7442-A2E8-5224C0AA0679}"/>
      </w:docPartPr>
      <w:docPartBody>
        <w:p w:rsidR="008925D0" w:rsidRDefault="003317B7" w:rsidP="003317B7">
          <w:pPr>
            <w:pStyle w:val="A97B34C2E8B36148AD667285C4B2FB5A"/>
          </w:pPr>
          <w:r w:rsidRPr="003A1044">
            <w:rPr>
              <w:rStyle w:val="PlaceholderText"/>
            </w:rPr>
            <w:t>Click here to enter text.</w:t>
          </w:r>
        </w:p>
      </w:docPartBody>
    </w:docPart>
    <w:docPart>
      <w:docPartPr>
        <w:name w:val="E6CCFAAAB553934FA06463B084908F8F"/>
        <w:category>
          <w:name w:val="General"/>
          <w:gallery w:val="placeholder"/>
        </w:category>
        <w:types>
          <w:type w:val="bbPlcHdr"/>
        </w:types>
        <w:behaviors>
          <w:behavior w:val="content"/>
        </w:behaviors>
        <w:guid w:val="{F0449DD2-D94E-2146-8440-628AB1C5EE53}"/>
      </w:docPartPr>
      <w:docPartBody>
        <w:p w:rsidR="008925D0" w:rsidRDefault="003317B7" w:rsidP="003317B7">
          <w:pPr>
            <w:pStyle w:val="E6CCFAAAB553934FA06463B084908F8F"/>
          </w:pPr>
          <w:r w:rsidRPr="003A1044">
            <w:rPr>
              <w:rStyle w:val="PlaceholderText"/>
            </w:rPr>
            <w:t>Click here to enter text.</w:t>
          </w:r>
        </w:p>
      </w:docPartBody>
    </w:docPart>
    <w:docPart>
      <w:docPartPr>
        <w:name w:val="15981B5451DD00408E3A0BF4DE3A7298"/>
        <w:category>
          <w:name w:val="General"/>
          <w:gallery w:val="placeholder"/>
        </w:category>
        <w:types>
          <w:type w:val="bbPlcHdr"/>
        </w:types>
        <w:behaviors>
          <w:behavior w:val="content"/>
        </w:behaviors>
        <w:guid w:val="{F826337A-FECD-4444-A795-6094189BE8BB}"/>
      </w:docPartPr>
      <w:docPartBody>
        <w:p w:rsidR="008925D0" w:rsidRDefault="003317B7" w:rsidP="003317B7">
          <w:pPr>
            <w:pStyle w:val="15981B5451DD00408E3A0BF4DE3A7298"/>
          </w:pPr>
          <w:r w:rsidRPr="003A1044">
            <w:rPr>
              <w:rStyle w:val="PlaceholderText"/>
            </w:rPr>
            <w:t>Click here to enter text.</w:t>
          </w:r>
        </w:p>
      </w:docPartBody>
    </w:docPart>
    <w:docPart>
      <w:docPartPr>
        <w:name w:val="BBF8DD1720A09F4EBDDD2EC3CD80FF23"/>
        <w:category>
          <w:name w:val="General"/>
          <w:gallery w:val="placeholder"/>
        </w:category>
        <w:types>
          <w:type w:val="bbPlcHdr"/>
        </w:types>
        <w:behaviors>
          <w:behavior w:val="content"/>
        </w:behaviors>
        <w:guid w:val="{95D951C6-8E66-1F4D-A571-5B5C1BC8B944}"/>
      </w:docPartPr>
      <w:docPartBody>
        <w:p w:rsidR="008925D0" w:rsidRDefault="003317B7" w:rsidP="003317B7">
          <w:pPr>
            <w:pStyle w:val="BBF8DD1720A09F4EBDDD2EC3CD80FF23"/>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Roman">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0" w:usb1="08080000" w:usb2="00000010" w:usb3="00000000" w:csb0="001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3E"/>
    <w:rsid w:val="001E248D"/>
    <w:rsid w:val="003317B7"/>
    <w:rsid w:val="00365C71"/>
    <w:rsid w:val="003C50AB"/>
    <w:rsid w:val="00462920"/>
    <w:rsid w:val="004C24AD"/>
    <w:rsid w:val="00545C99"/>
    <w:rsid w:val="00724BB2"/>
    <w:rsid w:val="008925D0"/>
    <w:rsid w:val="00907E33"/>
    <w:rsid w:val="009B4B44"/>
    <w:rsid w:val="00AE47D4"/>
    <w:rsid w:val="00B5076B"/>
    <w:rsid w:val="00C937C0"/>
    <w:rsid w:val="00CE3DBA"/>
    <w:rsid w:val="00CE79B0"/>
    <w:rsid w:val="00D518F4"/>
    <w:rsid w:val="00E0310F"/>
    <w:rsid w:val="00F65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7B7"/>
    <w:rPr>
      <w:color w:val="808080"/>
    </w:rPr>
  </w:style>
  <w:style w:type="paragraph" w:customStyle="1" w:styleId="76060DB150D3BC48A4629A4C4B549318">
    <w:name w:val="76060DB150D3BC48A4629A4C4B549318"/>
    <w:rsid w:val="00F6543E"/>
  </w:style>
  <w:style w:type="paragraph" w:customStyle="1" w:styleId="591147B592FC944492067BCD99302FC1">
    <w:name w:val="591147B592FC944492067BCD99302FC1"/>
    <w:rsid w:val="00F6543E"/>
  </w:style>
  <w:style w:type="paragraph" w:customStyle="1" w:styleId="8B1530553066544290F697A844532369">
    <w:name w:val="8B1530553066544290F697A844532369"/>
    <w:rsid w:val="00F6543E"/>
  </w:style>
  <w:style w:type="paragraph" w:customStyle="1" w:styleId="A29205B90AA0DC4DA1A97795D32ED796">
    <w:name w:val="A29205B90AA0DC4DA1A97795D32ED796"/>
    <w:rsid w:val="00F6543E"/>
  </w:style>
  <w:style w:type="paragraph" w:customStyle="1" w:styleId="3A5C495BAE266442A6BCEB338807D3E6">
    <w:name w:val="3A5C495BAE266442A6BCEB338807D3E6"/>
    <w:rsid w:val="00F6543E"/>
  </w:style>
  <w:style w:type="paragraph" w:customStyle="1" w:styleId="8094CB7B7C653C409C359C8CEF72EBC7">
    <w:name w:val="8094CB7B7C653C409C359C8CEF72EBC7"/>
    <w:rsid w:val="003317B7"/>
  </w:style>
  <w:style w:type="paragraph" w:customStyle="1" w:styleId="A97B34C2E8B36148AD667285C4B2FB5A">
    <w:name w:val="A97B34C2E8B36148AD667285C4B2FB5A"/>
    <w:rsid w:val="003317B7"/>
  </w:style>
  <w:style w:type="paragraph" w:customStyle="1" w:styleId="E6CCFAAAB553934FA06463B084908F8F">
    <w:name w:val="E6CCFAAAB553934FA06463B084908F8F"/>
    <w:rsid w:val="003317B7"/>
  </w:style>
  <w:style w:type="paragraph" w:customStyle="1" w:styleId="15981B5451DD00408E3A0BF4DE3A7298">
    <w:name w:val="15981B5451DD00408E3A0BF4DE3A7298"/>
    <w:rsid w:val="003317B7"/>
  </w:style>
  <w:style w:type="paragraph" w:customStyle="1" w:styleId="BBF8DD1720A09F4EBDDD2EC3CD80FF23">
    <w:name w:val="BBF8DD1720A09F4EBDDD2EC3CD80FF23"/>
    <w:rsid w:val="00331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4472-EC08-45AF-A5AA-5635D3A2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9</TotalTime>
  <Pages>1</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18952</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9</cp:revision>
  <cp:lastPrinted>2021-09-27T07:10:00Z</cp:lastPrinted>
  <dcterms:created xsi:type="dcterms:W3CDTF">2022-11-04T06:43:00Z</dcterms:created>
  <dcterms:modified xsi:type="dcterms:W3CDTF">2022-11-23T10:49:00Z</dcterms:modified>
  <cp:category>Template</cp:category>
</cp:coreProperties>
</file>