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1115CD">
      <w:pPr>
        <w:pStyle w:val="Heading1"/>
        <w:rPr>
          <w:sz w:val="28"/>
        </w:rPr>
      </w:pPr>
      <w:r w:rsidRPr="002C0ED4">
        <w:rPr>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53345F" w:rsidRDefault="00CA34E3" w:rsidP="0016774B">
      <w:pPr>
        <w:spacing w:before="240"/>
        <w:jc w:val="center"/>
        <w:rPr>
          <w:i/>
          <w:sz w:val="36"/>
          <w:szCs w:val="36"/>
        </w:rPr>
      </w:pPr>
      <w:r w:rsidRPr="0053345F">
        <w:rPr>
          <w:rFonts w:eastAsia="Times New Roman" w:cs="Arial"/>
          <w:b/>
          <w:i/>
          <w:color w:val="AC0000"/>
          <w:spacing w:val="40"/>
          <w:sz w:val="36"/>
          <w:szCs w:val="36"/>
          <w:lang w:val="en-AU"/>
        </w:rPr>
        <w:t>Procedure</w:t>
      </w:r>
      <w:r w:rsidRPr="0053345F">
        <w:rPr>
          <w:i/>
          <w:sz w:val="36"/>
          <w:szCs w:val="36"/>
        </w:rPr>
        <w:t xml:space="preserve"> </w:t>
      </w:r>
    </w:p>
    <w:p w14:paraId="2A3361BA" w14:textId="1F4947C3" w:rsidR="00AA17EC" w:rsidRDefault="002231EB" w:rsidP="0053345F">
      <w:pPr>
        <w:spacing w:before="240"/>
        <w:jc w:val="center"/>
        <w:rPr>
          <w:rFonts w:eastAsia="Times New Roman" w:cs="Arial"/>
          <w:b/>
          <w:color w:val="AC0000"/>
          <w:spacing w:val="40"/>
          <w:sz w:val="50"/>
          <w:szCs w:val="50"/>
          <w:lang w:val="en-AU"/>
        </w:rPr>
      </w:pPr>
      <w:r>
        <w:rPr>
          <w:rFonts w:eastAsia="Times New Roman" w:cs="Arial"/>
          <w:b/>
          <w:color w:val="AC0000"/>
          <w:spacing w:val="40"/>
          <w:sz w:val="50"/>
          <w:szCs w:val="50"/>
          <w:lang w:val="en-AU"/>
        </w:rPr>
        <w:t>Continual Improvement</w:t>
      </w:r>
    </w:p>
    <w:p w14:paraId="05FFAD3A" w14:textId="77777777" w:rsidR="0053345F" w:rsidRPr="0053345F" w:rsidRDefault="0053345F" w:rsidP="0053345F">
      <w:pPr>
        <w:spacing w:before="240"/>
        <w:jc w:val="center"/>
        <w:rPr>
          <w:rFonts w:cs="Arial"/>
          <w:sz w:val="2"/>
          <w:szCs w:val="50"/>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2AB55F44" w:rsidR="00AA17EC" w:rsidRPr="002C0ED4" w:rsidRDefault="0053345F"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316E78C1" w:rsidR="00AA17EC" w:rsidRPr="002C0ED4" w:rsidRDefault="0053345F" w:rsidP="00441F6A">
            <w:pPr>
              <w:pStyle w:val="HeadingLv2"/>
              <w:rPr>
                <w:rFonts w:ascii="Arial" w:hAnsi="Arial" w:cs="Arial"/>
                <w:lang w:val="de-DE"/>
              </w:rPr>
            </w:pPr>
            <w:r w:rsidRPr="0053345F">
              <w:rPr>
                <w:rFonts w:ascii="Arial" w:hAnsi="Arial" w:cs="Arial"/>
                <w:lang w:val="de-DE"/>
              </w:rPr>
              <w:t> </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394F8E76"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641E69">
              <w:rPr>
                <w:rFonts w:ascii="Arial" w:hAnsi="Arial" w:cs="Arial"/>
                <w:lang w:val="de-DE"/>
              </w:rPr>
              <w:t>1</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24D3596F" w:rsidR="00AA17EC" w:rsidRPr="002C0ED4" w:rsidRDefault="003E1CFD" w:rsidP="0053345F">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53345F">
              <w:rPr>
                <w:rFonts w:ascii="Arial" w:hAnsi="Arial" w:cs="Arial"/>
                <w:lang w:val="de-DE"/>
              </w:rPr>
              <w:t>.</w:t>
            </w:r>
            <w:r w:rsidR="00641E69">
              <w:rPr>
                <w:rFonts w:ascii="Arial" w:hAnsi="Arial" w:cs="Arial"/>
                <w:lang w:val="de-DE"/>
              </w:rPr>
              <w:t>11</w:t>
            </w:r>
            <w:r w:rsidR="0053345F">
              <w:rPr>
                <w:rFonts w:ascii="Arial" w:hAnsi="Arial" w:cs="Arial"/>
                <w:lang w:val="de-DE"/>
              </w:rPr>
              <w:t>.</w:t>
            </w:r>
            <w:r w:rsidRPr="002C0ED4">
              <w:rPr>
                <w:rFonts w:ascii="Arial" w:hAnsi="Arial" w:cs="Arial"/>
                <w:lang w:val="de-DE"/>
              </w:rPr>
              <w:t>20</w:t>
            </w:r>
            <w:r w:rsidR="00517E15">
              <w:rPr>
                <w:rFonts w:ascii="Arial" w:hAnsi="Arial" w:cs="Arial"/>
                <w:lang w:val="de-DE"/>
              </w:rPr>
              <w:t>2</w:t>
            </w:r>
            <w:r w:rsidR="005B5F31">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786C19C9" w14:textId="453DFD44" w:rsidR="0091311D"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460899" w:history="1">
        <w:r w:rsidR="0091311D" w:rsidRPr="00594C68">
          <w:rPr>
            <w:rStyle w:val="Hyperlink"/>
            <w:rFonts w:cs="Arial"/>
            <w:noProof/>
          </w:rPr>
          <w:t>1</w:t>
        </w:r>
        <w:r w:rsidR="0091311D">
          <w:rPr>
            <w:rFonts w:asciiTheme="minorHAnsi" w:eastAsiaTheme="minorEastAsia" w:hAnsiTheme="minorHAnsi" w:cstheme="minorBidi"/>
            <w:noProof/>
            <w:sz w:val="24"/>
            <w:szCs w:val="24"/>
            <w:lang/>
          </w:rPr>
          <w:tab/>
        </w:r>
        <w:r w:rsidR="0091311D" w:rsidRPr="00594C68">
          <w:rPr>
            <w:rStyle w:val="Hyperlink"/>
            <w:rFonts w:cs="Arial"/>
            <w:noProof/>
          </w:rPr>
          <w:t>INTRODUCTION</w:t>
        </w:r>
        <w:r w:rsidR="0091311D">
          <w:rPr>
            <w:noProof/>
            <w:webHidden/>
          </w:rPr>
          <w:tab/>
        </w:r>
        <w:r w:rsidR="0091311D">
          <w:rPr>
            <w:noProof/>
            <w:webHidden/>
          </w:rPr>
          <w:fldChar w:fldCharType="begin"/>
        </w:r>
        <w:r w:rsidR="0091311D">
          <w:rPr>
            <w:noProof/>
            <w:webHidden/>
          </w:rPr>
          <w:instrText xml:space="preserve"> PAGEREF _Toc118460899 \h </w:instrText>
        </w:r>
        <w:r w:rsidR="0091311D">
          <w:rPr>
            <w:noProof/>
            <w:webHidden/>
          </w:rPr>
        </w:r>
        <w:r w:rsidR="0091311D">
          <w:rPr>
            <w:noProof/>
            <w:webHidden/>
          </w:rPr>
          <w:fldChar w:fldCharType="separate"/>
        </w:r>
        <w:r w:rsidR="0091311D">
          <w:rPr>
            <w:noProof/>
            <w:webHidden/>
          </w:rPr>
          <w:t>4</w:t>
        </w:r>
        <w:r w:rsidR="0091311D">
          <w:rPr>
            <w:noProof/>
            <w:webHidden/>
          </w:rPr>
          <w:fldChar w:fldCharType="end"/>
        </w:r>
      </w:hyperlink>
    </w:p>
    <w:p w14:paraId="66263A24" w14:textId="5F159234" w:rsidR="0091311D" w:rsidRDefault="004E5321">
      <w:pPr>
        <w:pStyle w:val="TOC2"/>
        <w:tabs>
          <w:tab w:val="left" w:pos="720"/>
          <w:tab w:val="right" w:leader="dot" w:pos="9019"/>
        </w:tabs>
        <w:rPr>
          <w:rFonts w:asciiTheme="minorHAnsi" w:eastAsiaTheme="minorEastAsia" w:hAnsiTheme="minorHAnsi" w:cstheme="minorBidi"/>
          <w:noProof/>
          <w:sz w:val="24"/>
          <w:szCs w:val="24"/>
          <w:lang/>
        </w:rPr>
      </w:pPr>
      <w:hyperlink w:anchor="_Toc118460900" w:history="1">
        <w:r w:rsidR="0091311D" w:rsidRPr="00594C68">
          <w:rPr>
            <w:rStyle w:val="Hyperlink"/>
            <w:rFonts w:cs="Arial"/>
            <w:noProof/>
          </w:rPr>
          <w:t>1.1</w:t>
        </w:r>
        <w:r w:rsidR="0091311D">
          <w:rPr>
            <w:rFonts w:asciiTheme="minorHAnsi" w:eastAsiaTheme="minorEastAsia" w:hAnsiTheme="minorHAnsi" w:cstheme="minorBidi"/>
            <w:noProof/>
            <w:sz w:val="24"/>
            <w:szCs w:val="24"/>
            <w:lang/>
          </w:rPr>
          <w:tab/>
        </w:r>
        <w:r w:rsidR="0091311D" w:rsidRPr="00594C68">
          <w:rPr>
            <w:rStyle w:val="Hyperlink"/>
            <w:rFonts w:cs="Arial"/>
            <w:noProof/>
          </w:rPr>
          <w:t>Purpose</w:t>
        </w:r>
        <w:r w:rsidR="0091311D">
          <w:rPr>
            <w:noProof/>
            <w:webHidden/>
          </w:rPr>
          <w:tab/>
        </w:r>
        <w:r w:rsidR="0091311D">
          <w:rPr>
            <w:noProof/>
            <w:webHidden/>
          </w:rPr>
          <w:fldChar w:fldCharType="begin"/>
        </w:r>
        <w:r w:rsidR="0091311D">
          <w:rPr>
            <w:noProof/>
            <w:webHidden/>
          </w:rPr>
          <w:instrText xml:space="preserve"> PAGEREF _Toc118460900 \h </w:instrText>
        </w:r>
        <w:r w:rsidR="0091311D">
          <w:rPr>
            <w:noProof/>
            <w:webHidden/>
          </w:rPr>
        </w:r>
        <w:r w:rsidR="0091311D">
          <w:rPr>
            <w:noProof/>
            <w:webHidden/>
          </w:rPr>
          <w:fldChar w:fldCharType="separate"/>
        </w:r>
        <w:r w:rsidR="0091311D">
          <w:rPr>
            <w:noProof/>
            <w:webHidden/>
          </w:rPr>
          <w:t>4</w:t>
        </w:r>
        <w:r w:rsidR="0091311D">
          <w:rPr>
            <w:noProof/>
            <w:webHidden/>
          </w:rPr>
          <w:fldChar w:fldCharType="end"/>
        </w:r>
      </w:hyperlink>
    </w:p>
    <w:p w14:paraId="6391564F" w14:textId="13161672" w:rsidR="0091311D" w:rsidRDefault="004E5321">
      <w:pPr>
        <w:pStyle w:val="TOC2"/>
        <w:tabs>
          <w:tab w:val="left" w:pos="720"/>
          <w:tab w:val="right" w:leader="dot" w:pos="9019"/>
        </w:tabs>
        <w:rPr>
          <w:rFonts w:asciiTheme="minorHAnsi" w:eastAsiaTheme="minorEastAsia" w:hAnsiTheme="minorHAnsi" w:cstheme="minorBidi"/>
          <w:noProof/>
          <w:sz w:val="24"/>
          <w:szCs w:val="24"/>
          <w:lang/>
        </w:rPr>
      </w:pPr>
      <w:hyperlink w:anchor="_Toc118460901" w:history="1">
        <w:r w:rsidR="0091311D" w:rsidRPr="00594C68">
          <w:rPr>
            <w:rStyle w:val="Hyperlink"/>
            <w:rFonts w:cs="Arial"/>
            <w:noProof/>
          </w:rPr>
          <w:t>1.2</w:t>
        </w:r>
        <w:r w:rsidR="0091311D">
          <w:rPr>
            <w:rFonts w:asciiTheme="minorHAnsi" w:eastAsiaTheme="minorEastAsia" w:hAnsiTheme="minorHAnsi" w:cstheme="minorBidi"/>
            <w:noProof/>
            <w:sz w:val="24"/>
            <w:szCs w:val="24"/>
            <w:lang/>
          </w:rPr>
          <w:tab/>
        </w:r>
        <w:r w:rsidR="0091311D" w:rsidRPr="00594C68">
          <w:rPr>
            <w:rStyle w:val="Hyperlink"/>
            <w:rFonts w:cs="Arial"/>
            <w:noProof/>
          </w:rPr>
          <w:t>Application Scope</w:t>
        </w:r>
        <w:r w:rsidR="0091311D">
          <w:rPr>
            <w:noProof/>
            <w:webHidden/>
          </w:rPr>
          <w:tab/>
        </w:r>
        <w:r w:rsidR="0091311D">
          <w:rPr>
            <w:noProof/>
            <w:webHidden/>
          </w:rPr>
          <w:fldChar w:fldCharType="begin"/>
        </w:r>
        <w:r w:rsidR="0091311D">
          <w:rPr>
            <w:noProof/>
            <w:webHidden/>
          </w:rPr>
          <w:instrText xml:space="preserve"> PAGEREF _Toc118460901 \h </w:instrText>
        </w:r>
        <w:r w:rsidR="0091311D">
          <w:rPr>
            <w:noProof/>
            <w:webHidden/>
          </w:rPr>
        </w:r>
        <w:r w:rsidR="0091311D">
          <w:rPr>
            <w:noProof/>
            <w:webHidden/>
          </w:rPr>
          <w:fldChar w:fldCharType="separate"/>
        </w:r>
        <w:r w:rsidR="0091311D">
          <w:rPr>
            <w:noProof/>
            <w:webHidden/>
          </w:rPr>
          <w:t>5</w:t>
        </w:r>
        <w:r w:rsidR="0091311D">
          <w:rPr>
            <w:noProof/>
            <w:webHidden/>
          </w:rPr>
          <w:fldChar w:fldCharType="end"/>
        </w:r>
      </w:hyperlink>
    </w:p>
    <w:p w14:paraId="59A90FBB" w14:textId="36EAE938" w:rsidR="0091311D" w:rsidRDefault="004E5321">
      <w:pPr>
        <w:pStyle w:val="TOC2"/>
        <w:tabs>
          <w:tab w:val="left" w:pos="720"/>
          <w:tab w:val="right" w:leader="dot" w:pos="9019"/>
        </w:tabs>
        <w:rPr>
          <w:rFonts w:asciiTheme="minorHAnsi" w:eastAsiaTheme="minorEastAsia" w:hAnsiTheme="minorHAnsi" w:cstheme="minorBidi"/>
          <w:noProof/>
          <w:sz w:val="24"/>
          <w:szCs w:val="24"/>
          <w:lang/>
        </w:rPr>
      </w:pPr>
      <w:hyperlink w:anchor="_Toc118460902" w:history="1">
        <w:r w:rsidR="0091311D" w:rsidRPr="00594C68">
          <w:rPr>
            <w:rStyle w:val="Hyperlink"/>
            <w:noProof/>
          </w:rPr>
          <w:t>1.3</w:t>
        </w:r>
        <w:r w:rsidR="0091311D">
          <w:rPr>
            <w:rFonts w:asciiTheme="minorHAnsi" w:eastAsiaTheme="minorEastAsia" w:hAnsiTheme="minorHAnsi" w:cstheme="minorBidi"/>
            <w:noProof/>
            <w:sz w:val="24"/>
            <w:szCs w:val="24"/>
            <w:lang/>
          </w:rPr>
          <w:tab/>
        </w:r>
        <w:r w:rsidR="0091311D" w:rsidRPr="00594C68">
          <w:rPr>
            <w:rStyle w:val="Hyperlink"/>
            <w:noProof/>
          </w:rPr>
          <w:t>Application of national Laws</w:t>
        </w:r>
        <w:r w:rsidR="0091311D">
          <w:rPr>
            <w:noProof/>
            <w:webHidden/>
          </w:rPr>
          <w:tab/>
        </w:r>
        <w:r w:rsidR="0091311D">
          <w:rPr>
            <w:noProof/>
            <w:webHidden/>
          </w:rPr>
          <w:fldChar w:fldCharType="begin"/>
        </w:r>
        <w:r w:rsidR="0091311D">
          <w:rPr>
            <w:noProof/>
            <w:webHidden/>
          </w:rPr>
          <w:instrText xml:space="preserve"> PAGEREF _Toc118460902 \h </w:instrText>
        </w:r>
        <w:r w:rsidR="0091311D">
          <w:rPr>
            <w:noProof/>
            <w:webHidden/>
          </w:rPr>
        </w:r>
        <w:r w:rsidR="0091311D">
          <w:rPr>
            <w:noProof/>
            <w:webHidden/>
          </w:rPr>
          <w:fldChar w:fldCharType="separate"/>
        </w:r>
        <w:r w:rsidR="0091311D">
          <w:rPr>
            <w:noProof/>
            <w:webHidden/>
          </w:rPr>
          <w:t>5</w:t>
        </w:r>
        <w:r w:rsidR="0091311D">
          <w:rPr>
            <w:noProof/>
            <w:webHidden/>
          </w:rPr>
          <w:fldChar w:fldCharType="end"/>
        </w:r>
      </w:hyperlink>
    </w:p>
    <w:p w14:paraId="45CD5C83" w14:textId="0ADE099A" w:rsidR="0091311D" w:rsidRDefault="004E5321">
      <w:pPr>
        <w:pStyle w:val="TOC2"/>
        <w:tabs>
          <w:tab w:val="left" w:pos="720"/>
          <w:tab w:val="right" w:leader="dot" w:pos="9019"/>
        </w:tabs>
        <w:rPr>
          <w:rFonts w:asciiTheme="minorHAnsi" w:eastAsiaTheme="minorEastAsia" w:hAnsiTheme="minorHAnsi" w:cstheme="minorBidi"/>
          <w:noProof/>
          <w:sz w:val="24"/>
          <w:szCs w:val="24"/>
          <w:lang/>
        </w:rPr>
      </w:pPr>
      <w:hyperlink w:anchor="_Toc118460903" w:history="1">
        <w:r w:rsidR="0091311D" w:rsidRPr="00594C68">
          <w:rPr>
            <w:rStyle w:val="Hyperlink"/>
            <w:rFonts w:cs="Arial"/>
            <w:noProof/>
          </w:rPr>
          <w:t>1.4</w:t>
        </w:r>
        <w:r w:rsidR="0091311D">
          <w:rPr>
            <w:rFonts w:asciiTheme="minorHAnsi" w:eastAsiaTheme="minorEastAsia" w:hAnsiTheme="minorHAnsi" w:cstheme="minorBidi"/>
            <w:noProof/>
            <w:sz w:val="24"/>
            <w:szCs w:val="24"/>
            <w:lang/>
          </w:rPr>
          <w:tab/>
        </w:r>
        <w:r w:rsidR="0091311D" w:rsidRPr="00594C68">
          <w:rPr>
            <w:rStyle w:val="Hyperlink"/>
            <w:rFonts w:cs="Arial"/>
            <w:noProof/>
          </w:rPr>
          <w:t>Responsibilities</w:t>
        </w:r>
        <w:r w:rsidR="0091311D">
          <w:rPr>
            <w:noProof/>
            <w:webHidden/>
          </w:rPr>
          <w:tab/>
        </w:r>
        <w:r w:rsidR="0091311D">
          <w:rPr>
            <w:noProof/>
            <w:webHidden/>
          </w:rPr>
          <w:fldChar w:fldCharType="begin"/>
        </w:r>
        <w:r w:rsidR="0091311D">
          <w:rPr>
            <w:noProof/>
            <w:webHidden/>
          </w:rPr>
          <w:instrText xml:space="preserve"> PAGEREF _Toc118460903 \h </w:instrText>
        </w:r>
        <w:r w:rsidR="0091311D">
          <w:rPr>
            <w:noProof/>
            <w:webHidden/>
          </w:rPr>
        </w:r>
        <w:r w:rsidR="0091311D">
          <w:rPr>
            <w:noProof/>
            <w:webHidden/>
          </w:rPr>
          <w:fldChar w:fldCharType="separate"/>
        </w:r>
        <w:r w:rsidR="0091311D">
          <w:rPr>
            <w:noProof/>
            <w:webHidden/>
          </w:rPr>
          <w:t>6</w:t>
        </w:r>
        <w:r w:rsidR="0091311D">
          <w:rPr>
            <w:noProof/>
            <w:webHidden/>
          </w:rPr>
          <w:fldChar w:fldCharType="end"/>
        </w:r>
      </w:hyperlink>
    </w:p>
    <w:p w14:paraId="7262F6C9" w14:textId="17B263E6" w:rsidR="0091311D" w:rsidRDefault="004E5321">
      <w:pPr>
        <w:pStyle w:val="TOC1"/>
        <w:rPr>
          <w:rFonts w:asciiTheme="minorHAnsi" w:eastAsiaTheme="minorEastAsia" w:hAnsiTheme="minorHAnsi" w:cstheme="minorBidi"/>
          <w:noProof/>
          <w:sz w:val="24"/>
          <w:szCs w:val="24"/>
          <w:lang/>
        </w:rPr>
      </w:pPr>
      <w:hyperlink w:anchor="_Toc118460904" w:history="1">
        <w:r w:rsidR="0091311D" w:rsidRPr="00594C68">
          <w:rPr>
            <w:rStyle w:val="Hyperlink"/>
            <w:rFonts w:cs="Arial"/>
            <w:noProof/>
          </w:rPr>
          <w:t>2</w:t>
        </w:r>
        <w:r w:rsidR="0091311D">
          <w:rPr>
            <w:rFonts w:asciiTheme="minorHAnsi" w:eastAsiaTheme="minorEastAsia" w:hAnsiTheme="minorHAnsi" w:cstheme="minorBidi"/>
            <w:noProof/>
            <w:sz w:val="24"/>
            <w:szCs w:val="24"/>
            <w:lang/>
          </w:rPr>
          <w:tab/>
        </w:r>
        <w:r w:rsidR="0091311D" w:rsidRPr="00594C68">
          <w:rPr>
            <w:rStyle w:val="Hyperlink"/>
            <w:rFonts w:cs="Arial"/>
            <w:noProof/>
          </w:rPr>
          <w:t>Procedure</w:t>
        </w:r>
        <w:r w:rsidR="0091311D">
          <w:rPr>
            <w:noProof/>
            <w:webHidden/>
          </w:rPr>
          <w:tab/>
        </w:r>
        <w:r w:rsidR="0091311D">
          <w:rPr>
            <w:noProof/>
            <w:webHidden/>
          </w:rPr>
          <w:fldChar w:fldCharType="begin"/>
        </w:r>
        <w:r w:rsidR="0091311D">
          <w:rPr>
            <w:noProof/>
            <w:webHidden/>
          </w:rPr>
          <w:instrText xml:space="preserve"> PAGEREF _Toc118460904 \h </w:instrText>
        </w:r>
        <w:r w:rsidR="0091311D">
          <w:rPr>
            <w:noProof/>
            <w:webHidden/>
          </w:rPr>
        </w:r>
        <w:r w:rsidR="0091311D">
          <w:rPr>
            <w:noProof/>
            <w:webHidden/>
          </w:rPr>
          <w:fldChar w:fldCharType="separate"/>
        </w:r>
        <w:r w:rsidR="0091311D">
          <w:rPr>
            <w:noProof/>
            <w:webHidden/>
          </w:rPr>
          <w:t>7</w:t>
        </w:r>
        <w:r w:rsidR="0091311D">
          <w:rPr>
            <w:noProof/>
            <w:webHidden/>
          </w:rPr>
          <w:fldChar w:fldCharType="end"/>
        </w:r>
      </w:hyperlink>
    </w:p>
    <w:p w14:paraId="59A27E1F" w14:textId="5517BDA6" w:rsidR="0091311D" w:rsidRDefault="004E5321">
      <w:pPr>
        <w:pStyle w:val="TOC1"/>
        <w:rPr>
          <w:rFonts w:asciiTheme="minorHAnsi" w:eastAsiaTheme="minorEastAsia" w:hAnsiTheme="minorHAnsi" w:cstheme="minorBidi"/>
          <w:noProof/>
          <w:sz w:val="24"/>
          <w:szCs w:val="24"/>
          <w:lang/>
        </w:rPr>
      </w:pPr>
      <w:hyperlink w:anchor="_Toc118460905" w:history="1">
        <w:r w:rsidR="0091311D" w:rsidRPr="00594C68">
          <w:rPr>
            <w:rStyle w:val="Hyperlink"/>
            <w:rFonts w:cs="Arial"/>
            <w:noProof/>
          </w:rPr>
          <w:t>3</w:t>
        </w:r>
        <w:r w:rsidR="0091311D">
          <w:rPr>
            <w:rFonts w:asciiTheme="minorHAnsi" w:eastAsiaTheme="minorEastAsia" w:hAnsiTheme="minorHAnsi" w:cstheme="minorBidi"/>
            <w:noProof/>
            <w:sz w:val="24"/>
            <w:szCs w:val="24"/>
            <w:lang/>
          </w:rPr>
          <w:tab/>
        </w:r>
        <w:r w:rsidR="0091311D" w:rsidRPr="00594C68">
          <w:rPr>
            <w:rStyle w:val="Hyperlink"/>
            <w:rFonts w:cs="Arial"/>
            <w:noProof/>
          </w:rPr>
          <w:t>Document Owner and Approval</w:t>
        </w:r>
        <w:r w:rsidR="0091311D">
          <w:rPr>
            <w:noProof/>
            <w:webHidden/>
          </w:rPr>
          <w:tab/>
        </w:r>
        <w:r w:rsidR="0091311D">
          <w:rPr>
            <w:noProof/>
            <w:webHidden/>
          </w:rPr>
          <w:fldChar w:fldCharType="begin"/>
        </w:r>
        <w:r w:rsidR="0091311D">
          <w:rPr>
            <w:noProof/>
            <w:webHidden/>
          </w:rPr>
          <w:instrText xml:space="preserve"> PAGEREF _Toc118460905 \h </w:instrText>
        </w:r>
        <w:r w:rsidR="0091311D">
          <w:rPr>
            <w:noProof/>
            <w:webHidden/>
          </w:rPr>
        </w:r>
        <w:r w:rsidR="0091311D">
          <w:rPr>
            <w:noProof/>
            <w:webHidden/>
          </w:rPr>
          <w:fldChar w:fldCharType="separate"/>
        </w:r>
        <w:r w:rsidR="0091311D">
          <w:rPr>
            <w:noProof/>
            <w:webHidden/>
          </w:rPr>
          <w:t>8</w:t>
        </w:r>
        <w:r w:rsidR="0091311D">
          <w:rPr>
            <w:noProof/>
            <w:webHidden/>
          </w:rPr>
          <w:fldChar w:fldCharType="end"/>
        </w:r>
      </w:hyperlink>
    </w:p>
    <w:p w14:paraId="49CD43E7" w14:textId="67BA7827" w:rsidR="0091311D" w:rsidRDefault="004E5321">
      <w:pPr>
        <w:pStyle w:val="TOC1"/>
        <w:rPr>
          <w:rFonts w:asciiTheme="minorHAnsi" w:eastAsiaTheme="minorEastAsia" w:hAnsiTheme="minorHAnsi" w:cstheme="minorBidi"/>
          <w:noProof/>
          <w:sz w:val="24"/>
          <w:szCs w:val="24"/>
          <w:lang/>
        </w:rPr>
      </w:pPr>
      <w:hyperlink w:anchor="_Toc118460906" w:history="1">
        <w:r w:rsidR="0091311D" w:rsidRPr="00594C68">
          <w:rPr>
            <w:rStyle w:val="Hyperlink"/>
            <w:rFonts w:cs="Arial"/>
            <w:caps/>
            <w:noProof/>
          </w:rPr>
          <w:t>4</w:t>
        </w:r>
        <w:r w:rsidR="0091311D">
          <w:rPr>
            <w:rFonts w:asciiTheme="minorHAnsi" w:eastAsiaTheme="minorEastAsia" w:hAnsiTheme="minorHAnsi" w:cstheme="minorBidi"/>
            <w:noProof/>
            <w:sz w:val="24"/>
            <w:szCs w:val="24"/>
            <w:lang/>
          </w:rPr>
          <w:tab/>
        </w:r>
        <w:r w:rsidR="0091311D" w:rsidRPr="00594C68">
          <w:rPr>
            <w:rStyle w:val="Hyperlink"/>
            <w:rFonts w:cs="Arial"/>
            <w:caps/>
            <w:noProof/>
          </w:rPr>
          <w:t>APPENDIX</w:t>
        </w:r>
        <w:r w:rsidR="0091311D">
          <w:rPr>
            <w:noProof/>
            <w:webHidden/>
          </w:rPr>
          <w:tab/>
        </w:r>
        <w:r w:rsidR="0091311D">
          <w:rPr>
            <w:noProof/>
            <w:webHidden/>
          </w:rPr>
          <w:fldChar w:fldCharType="begin"/>
        </w:r>
        <w:r w:rsidR="0091311D">
          <w:rPr>
            <w:noProof/>
            <w:webHidden/>
          </w:rPr>
          <w:instrText xml:space="preserve"> PAGEREF _Toc118460906 \h </w:instrText>
        </w:r>
        <w:r w:rsidR="0091311D">
          <w:rPr>
            <w:noProof/>
            <w:webHidden/>
          </w:rPr>
        </w:r>
        <w:r w:rsidR="0091311D">
          <w:rPr>
            <w:noProof/>
            <w:webHidden/>
          </w:rPr>
          <w:fldChar w:fldCharType="separate"/>
        </w:r>
        <w:r w:rsidR="0091311D">
          <w:rPr>
            <w:noProof/>
            <w:webHidden/>
          </w:rPr>
          <w:t>9</w:t>
        </w:r>
        <w:r w:rsidR="0091311D">
          <w:rPr>
            <w:noProof/>
            <w:webHidden/>
          </w:rPr>
          <w:fldChar w:fldCharType="end"/>
        </w:r>
      </w:hyperlink>
    </w:p>
    <w:p w14:paraId="62B2CA2F" w14:textId="4683A631" w:rsidR="0091311D" w:rsidRDefault="004E5321">
      <w:pPr>
        <w:pStyle w:val="TOC2"/>
        <w:tabs>
          <w:tab w:val="right" w:leader="dot" w:pos="9019"/>
        </w:tabs>
        <w:rPr>
          <w:rFonts w:asciiTheme="minorHAnsi" w:eastAsiaTheme="minorEastAsia" w:hAnsiTheme="minorHAnsi" w:cstheme="minorBidi"/>
          <w:noProof/>
          <w:sz w:val="24"/>
          <w:szCs w:val="24"/>
          <w:lang/>
        </w:rPr>
      </w:pPr>
      <w:hyperlink w:anchor="_Toc118460907" w:history="1">
        <w:r w:rsidR="001115CD">
          <w:rPr>
            <w:rStyle w:val="Hyperlink"/>
            <w:noProof/>
          </w:rPr>
          <w:t xml:space="preserve">4.1    </w:t>
        </w:r>
        <w:r w:rsidR="0091311D" w:rsidRPr="001115CD">
          <w:rPr>
            <w:rStyle w:val="Hyperlink"/>
            <w:noProof/>
          </w:rPr>
          <w:t>Definition</w:t>
        </w:r>
        <w:r w:rsidR="0091311D">
          <w:rPr>
            <w:noProof/>
            <w:webHidden/>
          </w:rPr>
          <w:tab/>
        </w:r>
        <w:r w:rsidR="0091311D">
          <w:rPr>
            <w:noProof/>
            <w:webHidden/>
          </w:rPr>
          <w:fldChar w:fldCharType="begin"/>
        </w:r>
        <w:r w:rsidR="0091311D">
          <w:rPr>
            <w:noProof/>
            <w:webHidden/>
          </w:rPr>
          <w:instrText xml:space="preserve"> PAGEREF _Toc118460907 \h </w:instrText>
        </w:r>
        <w:r w:rsidR="0091311D">
          <w:rPr>
            <w:noProof/>
            <w:webHidden/>
          </w:rPr>
        </w:r>
        <w:r w:rsidR="0091311D">
          <w:rPr>
            <w:noProof/>
            <w:webHidden/>
          </w:rPr>
          <w:fldChar w:fldCharType="separate"/>
        </w:r>
        <w:r w:rsidR="0091311D">
          <w:rPr>
            <w:noProof/>
            <w:webHidden/>
          </w:rPr>
          <w:t>9</w:t>
        </w:r>
        <w:r w:rsidR="0091311D">
          <w:rPr>
            <w:noProof/>
            <w:webHidden/>
          </w:rPr>
          <w:fldChar w:fldCharType="end"/>
        </w:r>
      </w:hyperlink>
    </w:p>
    <w:p w14:paraId="0003620B" w14:textId="3A730F19" w:rsidR="0091311D" w:rsidRDefault="004E5321">
      <w:pPr>
        <w:pStyle w:val="TOC2"/>
        <w:tabs>
          <w:tab w:val="left" w:pos="720"/>
          <w:tab w:val="right" w:leader="dot" w:pos="9019"/>
        </w:tabs>
        <w:rPr>
          <w:rFonts w:asciiTheme="minorHAnsi" w:eastAsiaTheme="minorEastAsia" w:hAnsiTheme="minorHAnsi" w:cstheme="minorBidi"/>
          <w:noProof/>
          <w:sz w:val="24"/>
          <w:szCs w:val="24"/>
          <w:lang/>
        </w:rPr>
      </w:pPr>
      <w:hyperlink w:anchor="_Toc118460908" w:history="1">
        <w:r w:rsidR="0091311D" w:rsidRPr="00594C68">
          <w:rPr>
            <w:rStyle w:val="Hyperlink"/>
            <w:noProof/>
          </w:rPr>
          <w:t>4.2</w:t>
        </w:r>
        <w:r w:rsidR="0091311D">
          <w:rPr>
            <w:rFonts w:asciiTheme="minorHAnsi" w:eastAsiaTheme="minorEastAsia" w:hAnsiTheme="minorHAnsi" w:cstheme="minorBidi"/>
            <w:noProof/>
            <w:sz w:val="24"/>
            <w:szCs w:val="24"/>
            <w:lang/>
          </w:rPr>
          <w:tab/>
        </w:r>
        <w:r w:rsidR="0091311D" w:rsidRPr="00594C68">
          <w:rPr>
            <w:rStyle w:val="Hyperlink"/>
            <w:noProof/>
          </w:rPr>
          <w:t>Related Documents</w:t>
        </w:r>
        <w:r w:rsidR="0091311D">
          <w:rPr>
            <w:noProof/>
            <w:webHidden/>
          </w:rPr>
          <w:tab/>
        </w:r>
        <w:r w:rsidR="0091311D">
          <w:rPr>
            <w:noProof/>
            <w:webHidden/>
          </w:rPr>
          <w:fldChar w:fldCharType="begin"/>
        </w:r>
        <w:r w:rsidR="0091311D">
          <w:rPr>
            <w:noProof/>
            <w:webHidden/>
          </w:rPr>
          <w:instrText xml:space="preserve"> PAGEREF _Toc118460908 \h </w:instrText>
        </w:r>
        <w:r w:rsidR="0091311D">
          <w:rPr>
            <w:noProof/>
            <w:webHidden/>
          </w:rPr>
        </w:r>
        <w:r w:rsidR="0091311D">
          <w:rPr>
            <w:noProof/>
            <w:webHidden/>
          </w:rPr>
          <w:fldChar w:fldCharType="separate"/>
        </w:r>
        <w:r w:rsidR="0091311D">
          <w:rPr>
            <w:noProof/>
            <w:webHidden/>
          </w:rPr>
          <w:t>10</w:t>
        </w:r>
        <w:r w:rsidR="0091311D">
          <w:rPr>
            <w:noProof/>
            <w:webHidden/>
          </w:rPr>
          <w:fldChar w:fldCharType="end"/>
        </w:r>
      </w:hyperlink>
    </w:p>
    <w:p w14:paraId="1CD4E1DE" w14:textId="2FF75707" w:rsidR="0091311D" w:rsidRDefault="004E5321">
      <w:pPr>
        <w:pStyle w:val="TOC2"/>
        <w:tabs>
          <w:tab w:val="left" w:pos="720"/>
          <w:tab w:val="right" w:leader="dot" w:pos="9019"/>
        </w:tabs>
        <w:rPr>
          <w:rFonts w:asciiTheme="minorHAnsi" w:eastAsiaTheme="minorEastAsia" w:hAnsiTheme="minorHAnsi" w:cstheme="minorBidi"/>
          <w:noProof/>
          <w:sz w:val="24"/>
          <w:szCs w:val="24"/>
          <w:lang/>
        </w:rPr>
      </w:pPr>
      <w:hyperlink w:anchor="_Toc118460909" w:history="1">
        <w:r w:rsidR="0091311D" w:rsidRPr="00594C68">
          <w:rPr>
            <w:rStyle w:val="Hyperlink"/>
            <w:noProof/>
          </w:rPr>
          <w:t>4.3</w:t>
        </w:r>
        <w:r w:rsidR="0091311D">
          <w:rPr>
            <w:rFonts w:asciiTheme="minorHAnsi" w:eastAsiaTheme="minorEastAsia" w:hAnsiTheme="minorHAnsi" w:cstheme="minorBidi"/>
            <w:noProof/>
            <w:sz w:val="24"/>
            <w:szCs w:val="24"/>
            <w:lang/>
          </w:rPr>
          <w:tab/>
        </w:r>
        <w:r w:rsidR="0091311D" w:rsidRPr="00594C68">
          <w:rPr>
            <w:rStyle w:val="Hyperlink"/>
            <w:noProof/>
          </w:rPr>
          <w:t>Data Protection Law, Vietnam, Overview</w:t>
        </w:r>
        <w:r w:rsidR="0091311D">
          <w:rPr>
            <w:noProof/>
            <w:webHidden/>
          </w:rPr>
          <w:tab/>
        </w:r>
        <w:r w:rsidR="0091311D">
          <w:rPr>
            <w:noProof/>
            <w:webHidden/>
          </w:rPr>
          <w:fldChar w:fldCharType="begin"/>
        </w:r>
        <w:r w:rsidR="0091311D">
          <w:rPr>
            <w:noProof/>
            <w:webHidden/>
          </w:rPr>
          <w:instrText xml:space="preserve"> PAGEREF _Toc118460909 \h </w:instrText>
        </w:r>
        <w:r w:rsidR="0091311D">
          <w:rPr>
            <w:noProof/>
            <w:webHidden/>
          </w:rPr>
        </w:r>
        <w:r w:rsidR="0091311D">
          <w:rPr>
            <w:noProof/>
            <w:webHidden/>
          </w:rPr>
          <w:fldChar w:fldCharType="separate"/>
        </w:r>
        <w:r w:rsidR="0091311D">
          <w:rPr>
            <w:noProof/>
            <w:webHidden/>
          </w:rPr>
          <w:t>12</w:t>
        </w:r>
        <w:r w:rsidR="0091311D">
          <w:rPr>
            <w:noProof/>
            <w:webHidden/>
          </w:rPr>
          <w:fldChar w:fldCharType="end"/>
        </w:r>
      </w:hyperlink>
    </w:p>
    <w:p w14:paraId="58931B7A" w14:textId="2DE9B906"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990"/>
        <w:gridCol w:w="1288"/>
        <w:gridCol w:w="1984"/>
        <w:gridCol w:w="1276"/>
        <w:gridCol w:w="992"/>
        <w:gridCol w:w="1134"/>
      </w:tblGrid>
      <w:tr w:rsidR="0093621D" w:rsidRPr="002C0ED4" w14:paraId="351D3E03" w14:textId="77777777" w:rsidTr="0091311D">
        <w:trPr>
          <w:trHeight w:val="620"/>
          <w:tblHeader/>
        </w:trPr>
        <w:tc>
          <w:tcPr>
            <w:tcW w:w="450" w:type="dxa"/>
            <w:shd w:val="clear" w:color="auto" w:fill="D9D9D9"/>
            <w:vAlign w:val="center"/>
          </w:tcPr>
          <w:p w14:paraId="63D435EA" w14:textId="77777777" w:rsidR="0093621D" w:rsidRPr="002C0ED4" w:rsidRDefault="0093621D" w:rsidP="0091311D">
            <w:pPr>
              <w:pStyle w:val="Bangheader"/>
              <w:spacing w:before="0" w:after="0" w:line="240" w:lineRule="auto"/>
            </w:pPr>
            <w:r w:rsidRPr="002C0ED4">
              <w:t>No</w:t>
            </w:r>
          </w:p>
        </w:tc>
        <w:tc>
          <w:tcPr>
            <w:tcW w:w="1440" w:type="dxa"/>
            <w:shd w:val="clear" w:color="auto" w:fill="D9D9D9"/>
            <w:vAlign w:val="center"/>
          </w:tcPr>
          <w:p w14:paraId="5F252E78" w14:textId="77777777" w:rsidR="0093621D" w:rsidRPr="002C0ED4" w:rsidRDefault="0093621D" w:rsidP="0091311D">
            <w:pPr>
              <w:pStyle w:val="Bangheader"/>
              <w:spacing w:before="0" w:after="0" w:line="240" w:lineRule="auto"/>
            </w:pPr>
            <w:r w:rsidRPr="002C0ED4">
              <w:t>Effective Date</w:t>
            </w:r>
          </w:p>
        </w:tc>
        <w:tc>
          <w:tcPr>
            <w:tcW w:w="990" w:type="dxa"/>
            <w:shd w:val="clear" w:color="auto" w:fill="D9D9D9"/>
            <w:vAlign w:val="center"/>
          </w:tcPr>
          <w:p w14:paraId="307490FB" w14:textId="77777777" w:rsidR="0093621D" w:rsidRPr="002C0ED4" w:rsidRDefault="0093621D" w:rsidP="0091311D">
            <w:pPr>
              <w:pStyle w:val="Bangheader"/>
              <w:spacing w:before="0" w:after="0" w:line="240" w:lineRule="auto"/>
            </w:pPr>
            <w:r w:rsidRPr="002C0ED4">
              <w:t>Version</w:t>
            </w:r>
          </w:p>
        </w:tc>
        <w:tc>
          <w:tcPr>
            <w:tcW w:w="1288" w:type="dxa"/>
            <w:shd w:val="clear" w:color="auto" w:fill="D9D9D9"/>
            <w:vAlign w:val="center"/>
          </w:tcPr>
          <w:p w14:paraId="02EAA96E" w14:textId="77777777" w:rsidR="0093621D" w:rsidRPr="002C0ED4" w:rsidRDefault="0093621D" w:rsidP="0091311D">
            <w:pPr>
              <w:pStyle w:val="Bangheader"/>
              <w:spacing w:before="0" w:after="0" w:line="240" w:lineRule="auto"/>
            </w:pPr>
            <w:r w:rsidRPr="002C0ED4">
              <w:t>Change Description</w:t>
            </w:r>
          </w:p>
        </w:tc>
        <w:tc>
          <w:tcPr>
            <w:tcW w:w="1984" w:type="dxa"/>
            <w:shd w:val="clear" w:color="auto" w:fill="D9D9D9"/>
            <w:vAlign w:val="center"/>
          </w:tcPr>
          <w:p w14:paraId="7F7295EF" w14:textId="77777777" w:rsidR="0093621D" w:rsidRPr="002C0ED4" w:rsidRDefault="0093621D" w:rsidP="0091311D">
            <w:pPr>
              <w:pStyle w:val="Bangheader"/>
              <w:spacing w:before="0" w:after="0" w:line="240" w:lineRule="auto"/>
            </w:pPr>
            <w:r w:rsidRPr="002C0ED4">
              <w:t>Reason</w:t>
            </w:r>
          </w:p>
        </w:tc>
        <w:tc>
          <w:tcPr>
            <w:tcW w:w="1276" w:type="dxa"/>
            <w:shd w:val="clear" w:color="auto" w:fill="D9D9D9"/>
            <w:vAlign w:val="center"/>
          </w:tcPr>
          <w:p w14:paraId="69EEDBC6" w14:textId="77777777" w:rsidR="0093621D" w:rsidRPr="002C0ED4" w:rsidRDefault="0093621D" w:rsidP="0091311D">
            <w:pPr>
              <w:pStyle w:val="Bangheader"/>
              <w:spacing w:before="0" w:after="0" w:line="240" w:lineRule="auto"/>
            </w:pPr>
            <w:r w:rsidRPr="002C0ED4">
              <w:t>Reviewer</w:t>
            </w:r>
          </w:p>
        </w:tc>
        <w:tc>
          <w:tcPr>
            <w:tcW w:w="992" w:type="dxa"/>
            <w:shd w:val="clear" w:color="auto" w:fill="D9D9D9"/>
            <w:vAlign w:val="center"/>
          </w:tcPr>
          <w:p w14:paraId="1A2A2E5D" w14:textId="17DE7D5D" w:rsidR="0093621D" w:rsidRPr="002C0ED4" w:rsidRDefault="0093621D" w:rsidP="0091311D">
            <w:pPr>
              <w:pStyle w:val="Bangheader"/>
              <w:spacing w:before="0" w:after="0" w:line="240" w:lineRule="auto"/>
            </w:pPr>
            <w:r>
              <w:t>Final Reviewer</w:t>
            </w:r>
          </w:p>
        </w:tc>
        <w:tc>
          <w:tcPr>
            <w:tcW w:w="1134" w:type="dxa"/>
            <w:shd w:val="clear" w:color="auto" w:fill="D9D9D9"/>
            <w:vAlign w:val="center"/>
          </w:tcPr>
          <w:p w14:paraId="0B7225B5" w14:textId="2F6393CF" w:rsidR="0093621D" w:rsidRPr="002C0ED4" w:rsidRDefault="0093621D" w:rsidP="0091311D">
            <w:pPr>
              <w:pStyle w:val="Bangheader"/>
              <w:spacing w:before="0" w:after="0" w:line="240" w:lineRule="auto"/>
            </w:pPr>
            <w:r w:rsidRPr="002C0ED4">
              <w:t>Approver</w:t>
            </w:r>
          </w:p>
        </w:tc>
      </w:tr>
      <w:tr w:rsidR="0093621D" w:rsidRPr="002C0ED4" w14:paraId="0509CBAF" w14:textId="77777777" w:rsidTr="0091311D">
        <w:tc>
          <w:tcPr>
            <w:tcW w:w="450" w:type="dxa"/>
          </w:tcPr>
          <w:p w14:paraId="3DE0C7D7" w14:textId="77777777" w:rsidR="0093621D" w:rsidRPr="002C0ED4" w:rsidRDefault="0093621D" w:rsidP="0091311D">
            <w:pPr>
              <w:spacing w:before="0" w:line="240" w:lineRule="auto"/>
              <w:rPr>
                <w:rFonts w:cs="Arial"/>
              </w:rPr>
            </w:pPr>
            <w:r w:rsidRPr="002C0ED4">
              <w:rPr>
                <w:rFonts w:cs="Arial"/>
              </w:rPr>
              <w:t>1</w:t>
            </w:r>
          </w:p>
        </w:tc>
        <w:tc>
          <w:tcPr>
            <w:tcW w:w="1440" w:type="dxa"/>
          </w:tcPr>
          <w:p w14:paraId="735F5945" w14:textId="1BAFF29B" w:rsidR="0093621D" w:rsidRPr="002C0ED4" w:rsidRDefault="006712EC" w:rsidP="0091311D">
            <w:pPr>
              <w:spacing w:before="0" w:line="240" w:lineRule="auto"/>
              <w:rPr>
                <w:rFonts w:cs="Arial"/>
              </w:rPr>
            </w:pPr>
            <w:r>
              <w:rPr>
                <w:rFonts w:cs="Arial"/>
              </w:rPr>
              <w:t>0</w:t>
            </w:r>
            <w:r w:rsidR="009F7B05">
              <w:rPr>
                <w:rFonts w:cs="Arial"/>
              </w:rPr>
              <w:t>1.</w:t>
            </w:r>
            <w:r w:rsidR="000D1C0F">
              <w:rPr>
                <w:rFonts w:cs="Arial"/>
              </w:rPr>
              <w:t>0</w:t>
            </w:r>
            <w:r w:rsidR="005B5F31">
              <w:rPr>
                <w:rFonts w:cs="Arial"/>
              </w:rPr>
              <w:t>4</w:t>
            </w:r>
            <w:r w:rsidR="008B6608">
              <w:rPr>
                <w:rFonts w:cs="Arial"/>
              </w:rPr>
              <w:t>.202</w:t>
            </w:r>
            <w:r w:rsidR="005B5F31">
              <w:rPr>
                <w:rFonts w:cs="Arial"/>
              </w:rPr>
              <w:t>2</w:t>
            </w:r>
          </w:p>
        </w:tc>
        <w:tc>
          <w:tcPr>
            <w:tcW w:w="990" w:type="dxa"/>
          </w:tcPr>
          <w:p w14:paraId="2BF0A7ED" w14:textId="77777777" w:rsidR="0093621D" w:rsidRPr="002C0ED4" w:rsidRDefault="0093621D" w:rsidP="0091311D">
            <w:pPr>
              <w:spacing w:before="0" w:line="240" w:lineRule="auto"/>
              <w:rPr>
                <w:rFonts w:cs="Arial"/>
              </w:rPr>
            </w:pPr>
            <w:r w:rsidRPr="002C0ED4">
              <w:rPr>
                <w:rFonts w:cs="Arial"/>
              </w:rPr>
              <w:t>1.0</w:t>
            </w:r>
          </w:p>
        </w:tc>
        <w:tc>
          <w:tcPr>
            <w:tcW w:w="1288" w:type="dxa"/>
          </w:tcPr>
          <w:p w14:paraId="4A66EC50" w14:textId="77777777" w:rsidR="0093621D" w:rsidRPr="002C0ED4" w:rsidRDefault="0093621D" w:rsidP="0091311D">
            <w:pPr>
              <w:spacing w:before="0" w:line="240" w:lineRule="auto"/>
              <w:rPr>
                <w:rFonts w:cs="Arial"/>
              </w:rPr>
            </w:pPr>
            <w:r w:rsidRPr="002C0ED4">
              <w:rPr>
                <w:rFonts w:cs="Arial"/>
              </w:rPr>
              <w:t>Newly issued</w:t>
            </w:r>
          </w:p>
        </w:tc>
        <w:tc>
          <w:tcPr>
            <w:tcW w:w="1984" w:type="dxa"/>
          </w:tcPr>
          <w:p w14:paraId="6984A242" w14:textId="730530B7" w:rsidR="0093621D" w:rsidRPr="002C0ED4" w:rsidRDefault="00D5309E" w:rsidP="0091311D">
            <w:pPr>
              <w:spacing w:before="0" w:line="240" w:lineRule="auto"/>
              <w:rPr>
                <w:rFonts w:cs="Arial"/>
              </w:rPr>
            </w:pPr>
            <w:r w:rsidRPr="00D5309E">
              <w:rPr>
                <w:rFonts w:cs="Arial"/>
              </w:rPr>
              <w:t>BS 10012:2017 Requirements/GDPR</w:t>
            </w:r>
            <w:r>
              <w:rPr>
                <w:rFonts w:cs="Arial"/>
              </w:rPr>
              <w:t xml:space="preserve">, </w:t>
            </w:r>
            <w:r w:rsidR="00A94905" w:rsidRPr="00A94905">
              <w:rPr>
                <w:rFonts w:cs="Arial"/>
              </w:rPr>
              <w:t>Clause 10.2</w:t>
            </w:r>
          </w:p>
        </w:tc>
        <w:tc>
          <w:tcPr>
            <w:tcW w:w="1276" w:type="dxa"/>
          </w:tcPr>
          <w:p w14:paraId="2051BF15" w14:textId="2C4EAAFC" w:rsidR="0093621D" w:rsidRPr="002C0ED4" w:rsidRDefault="00FA5AD6" w:rsidP="0091311D">
            <w:pPr>
              <w:spacing w:before="0" w:line="240" w:lineRule="auto"/>
              <w:rPr>
                <w:rFonts w:cs="Arial"/>
              </w:rPr>
            </w:pPr>
            <w:r>
              <w:rPr>
                <w:rFonts w:cs="Arial"/>
              </w:rPr>
              <w:t>LinhDTD1</w:t>
            </w:r>
          </w:p>
        </w:tc>
        <w:tc>
          <w:tcPr>
            <w:tcW w:w="992" w:type="dxa"/>
          </w:tcPr>
          <w:p w14:paraId="6B463746" w14:textId="796F99EF" w:rsidR="0093621D" w:rsidRPr="002C0ED4" w:rsidRDefault="0093621D" w:rsidP="0091311D">
            <w:pPr>
              <w:spacing w:before="0" w:line="240" w:lineRule="auto"/>
              <w:rPr>
                <w:rFonts w:cs="Arial"/>
              </w:rPr>
            </w:pPr>
            <w:r>
              <w:rPr>
                <w:rFonts w:cs="Arial"/>
              </w:rPr>
              <w:t>Michael Hering</w:t>
            </w:r>
          </w:p>
        </w:tc>
        <w:tc>
          <w:tcPr>
            <w:tcW w:w="1134" w:type="dxa"/>
          </w:tcPr>
          <w:p w14:paraId="7B1C3AD4" w14:textId="424FAE53" w:rsidR="0093621D" w:rsidRPr="009F7B05" w:rsidRDefault="009F7B05" w:rsidP="0091311D">
            <w:pPr>
              <w:pStyle w:val="headingbang"/>
              <w:spacing w:before="0" w:after="0" w:line="240" w:lineRule="auto"/>
              <w:rPr>
                <w:rFonts w:ascii="Arial" w:hAnsi="Arial" w:cs="Arial"/>
                <w:b w:val="0"/>
                <w:noProof w:val="0"/>
                <w:color w:val="auto"/>
                <w:szCs w:val="20"/>
              </w:rPr>
            </w:pPr>
            <w:proofErr w:type="spellStart"/>
            <w:r w:rsidRPr="009F7B05">
              <w:rPr>
                <w:rFonts w:ascii="Arial" w:hAnsi="Arial" w:cs="Arial"/>
                <w:b w:val="0"/>
                <w:noProof w:val="0"/>
                <w:color w:val="auto"/>
                <w:szCs w:val="20"/>
              </w:rPr>
              <w:t>HoanNK</w:t>
            </w:r>
            <w:proofErr w:type="spellEnd"/>
          </w:p>
        </w:tc>
      </w:tr>
      <w:tr w:rsidR="0091311D" w:rsidRPr="002C0ED4" w14:paraId="0E365E25" w14:textId="77777777" w:rsidTr="0091311D">
        <w:tc>
          <w:tcPr>
            <w:tcW w:w="450" w:type="dxa"/>
          </w:tcPr>
          <w:p w14:paraId="756A9919" w14:textId="56C6789F" w:rsidR="0091311D" w:rsidRPr="002C0ED4" w:rsidRDefault="0091311D" w:rsidP="0091311D">
            <w:pPr>
              <w:spacing w:before="0" w:line="240" w:lineRule="auto"/>
              <w:rPr>
                <w:rFonts w:cs="Arial"/>
              </w:rPr>
            </w:pPr>
            <w:r>
              <w:rPr>
                <w:rFonts w:cs="Arial"/>
              </w:rPr>
              <w:t>2</w:t>
            </w:r>
          </w:p>
        </w:tc>
        <w:tc>
          <w:tcPr>
            <w:tcW w:w="1440" w:type="dxa"/>
          </w:tcPr>
          <w:p w14:paraId="15804EAB" w14:textId="625C9AE1" w:rsidR="0091311D" w:rsidRDefault="0091311D" w:rsidP="0091311D">
            <w:pPr>
              <w:spacing w:before="0" w:line="240" w:lineRule="auto"/>
              <w:rPr>
                <w:rFonts w:cs="Arial"/>
              </w:rPr>
            </w:pPr>
            <w:r>
              <w:rPr>
                <w:rFonts w:cs="Arial"/>
              </w:rPr>
              <w:t>01.11.2022</w:t>
            </w:r>
          </w:p>
        </w:tc>
        <w:tc>
          <w:tcPr>
            <w:tcW w:w="990" w:type="dxa"/>
          </w:tcPr>
          <w:p w14:paraId="7656AFE3" w14:textId="388A5470" w:rsidR="0091311D" w:rsidRPr="002C0ED4" w:rsidRDefault="0091311D" w:rsidP="0091311D">
            <w:pPr>
              <w:spacing w:before="0" w:line="240" w:lineRule="auto"/>
              <w:rPr>
                <w:rFonts w:cs="Arial"/>
              </w:rPr>
            </w:pPr>
            <w:r>
              <w:rPr>
                <w:rFonts w:cs="Arial"/>
              </w:rPr>
              <w:t>1.1</w:t>
            </w:r>
          </w:p>
        </w:tc>
        <w:tc>
          <w:tcPr>
            <w:tcW w:w="1288" w:type="dxa"/>
          </w:tcPr>
          <w:p w14:paraId="76A69963" w14:textId="506ED6C0" w:rsidR="0091311D" w:rsidRPr="002C0ED4" w:rsidRDefault="0091311D" w:rsidP="0091311D">
            <w:pPr>
              <w:spacing w:before="0" w:line="240" w:lineRule="auto"/>
              <w:rPr>
                <w:rFonts w:cs="Arial"/>
              </w:rPr>
            </w:pPr>
            <w:r>
              <w:rPr>
                <w:rFonts w:cs="Arial"/>
              </w:rPr>
              <w:t>Biannually revision</w:t>
            </w:r>
          </w:p>
        </w:tc>
        <w:tc>
          <w:tcPr>
            <w:tcW w:w="1984" w:type="dxa"/>
          </w:tcPr>
          <w:p w14:paraId="4C0FC90E" w14:textId="2E55F0F0" w:rsidR="0091311D" w:rsidRPr="0091311D" w:rsidRDefault="0091311D" w:rsidP="0091311D">
            <w:pPr>
              <w:spacing w:before="0" w:line="240" w:lineRule="auto"/>
              <w:rPr>
                <w:rFonts w:cs="Arial"/>
              </w:rPr>
            </w:pPr>
            <w:r w:rsidRPr="0091311D">
              <w:rPr>
                <w:rFonts w:cs="Arial"/>
              </w:rPr>
              <w:t xml:space="preserve">Added </w:t>
            </w:r>
            <w:r>
              <w:rPr>
                <w:rFonts w:cs="Arial"/>
              </w:rPr>
              <w:t>4</w:t>
            </w:r>
            <w:r w:rsidRPr="0091311D">
              <w:rPr>
                <w:rFonts w:cs="Arial"/>
              </w:rPr>
              <w:t>.3. Data Protection Law, Vietnam, Overview.</w:t>
            </w:r>
          </w:p>
          <w:p w14:paraId="14A0ECD7" w14:textId="1E1A5F7C" w:rsidR="0091311D" w:rsidRPr="0091311D" w:rsidRDefault="0091311D" w:rsidP="0091311D">
            <w:pPr>
              <w:spacing w:before="0" w:line="240" w:lineRule="auto"/>
              <w:rPr>
                <w:rFonts w:cs="Arial"/>
              </w:rPr>
            </w:pPr>
            <w:r w:rsidRPr="0091311D">
              <w:rPr>
                <w:rFonts w:cs="Arial"/>
              </w:rPr>
              <w:t xml:space="preserve">Added </w:t>
            </w:r>
            <w:r>
              <w:rPr>
                <w:rFonts w:cs="Arial"/>
              </w:rPr>
              <w:t>4</w:t>
            </w:r>
            <w:r w:rsidRPr="0091311D">
              <w:rPr>
                <w:rFonts w:cs="Arial"/>
              </w:rPr>
              <w:t xml:space="preserve">.2 15 Republic Act 10173 </w:t>
            </w:r>
          </w:p>
          <w:p w14:paraId="567875E8" w14:textId="77777777" w:rsidR="0091311D" w:rsidRDefault="0091311D" w:rsidP="0091311D">
            <w:pPr>
              <w:spacing w:before="0" w:line="240" w:lineRule="auto"/>
              <w:rPr>
                <w:rFonts w:cs="Arial"/>
              </w:rPr>
            </w:pPr>
            <w:r w:rsidRPr="0091311D">
              <w:rPr>
                <w:rFonts w:cs="Arial"/>
              </w:rPr>
              <w:t xml:space="preserve">Data privacy Act 2012 </w:t>
            </w:r>
          </w:p>
          <w:p w14:paraId="7CAAA3E8" w14:textId="71094C71" w:rsidR="0091311D" w:rsidRPr="0091311D" w:rsidRDefault="0091311D" w:rsidP="0091311D">
            <w:pPr>
              <w:spacing w:before="0" w:line="240" w:lineRule="auto"/>
              <w:rPr>
                <w:rFonts w:cs="Arial"/>
              </w:rPr>
            </w:pPr>
            <w:r w:rsidRPr="0091311D">
              <w:rPr>
                <w:rFonts w:cs="Arial"/>
              </w:rPr>
              <w:t xml:space="preserve">Added </w:t>
            </w:r>
            <w:r>
              <w:rPr>
                <w:rFonts w:cs="Arial"/>
              </w:rPr>
              <w:t>4</w:t>
            </w:r>
            <w:r w:rsidRPr="0091311D">
              <w:rPr>
                <w:rFonts w:cs="Arial"/>
              </w:rPr>
              <w:t xml:space="preserve">.2 16 PIPL Added </w:t>
            </w:r>
            <w:r>
              <w:rPr>
                <w:rFonts w:cs="Arial"/>
              </w:rPr>
              <w:t>4</w:t>
            </w:r>
            <w:r w:rsidRPr="0091311D">
              <w:rPr>
                <w:rFonts w:cs="Arial"/>
              </w:rPr>
              <w:t>.2 17 PDPA</w:t>
            </w:r>
          </w:p>
          <w:p w14:paraId="705769F7" w14:textId="34C571CC" w:rsidR="0091311D" w:rsidRPr="00D5309E" w:rsidRDefault="0091311D" w:rsidP="0091311D">
            <w:pPr>
              <w:spacing w:before="0" w:line="240" w:lineRule="auto"/>
              <w:rPr>
                <w:rFonts w:cs="Arial"/>
              </w:rPr>
            </w:pPr>
            <w:r w:rsidRPr="0091311D">
              <w:rPr>
                <w:rFonts w:cs="Arial"/>
              </w:rPr>
              <w:t xml:space="preserve">Added </w:t>
            </w:r>
            <w:r>
              <w:rPr>
                <w:rFonts w:cs="Arial"/>
              </w:rPr>
              <w:t>4</w:t>
            </w:r>
            <w:r w:rsidRPr="0091311D">
              <w:rPr>
                <w:rFonts w:cs="Arial"/>
              </w:rPr>
              <w:t>.2 18 TISAX</w:t>
            </w:r>
          </w:p>
        </w:tc>
        <w:tc>
          <w:tcPr>
            <w:tcW w:w="1276" w:type="dxa"/>
          </w:tcPr>
          <w:p w14:paraId="6489246F" w14:textId="0F0F871B" w:rsidR="0091311D" w:rsidRDefault="0091311D" w:rsidP="0091311D">
            <w:pPr>
              <w:spacing w:before="0" w:line="240" w:lineRule="auto"/>
              <w:rPr>
                <w:rFonts w:cs="Arial"/>
              </w:rPr>
            </w:pPr>
            <w:r>
              <w:rPr>
                <w:rFonts w:cs="Arial"/>
              </w:rPr>
              <w:t>LinhDTD1</w:t>
            </w:r>
          </w:p>
        </w:tc>
        <w:tc>
          <w:tcPr>
            <w:tcW w:w="992" w:type="dxa"/>
          </w:tcPr>
          <w:p w14:paraId="7C47B254" w14:textId="7479FFCC" w:rsidR="0091311D" w:rsidRDefault="0091311D" w:rsidP="0091311D">
            <w:pPr>
              <w:spacing w:before="0" w:line="240" w:lineRule="auto"/>
              <w:rPr>
                <w:rFonts w:cs="Arial"/>
              </w:rPr>
            </w:pPr>
            <w:r>
              <w:rPr>
                <w:rFonts w:cs="Arial"/>
              </w:rPr>
              <w:t>Michael Hering</w:t>
            </w:r>
          </w:p>
        </w:tc>
        <w:tc>
          <w:tcPr>
            <w:tcW w:w="1134" w:type="dxa"/>
          </w:tcPr>
          <w:p w14:paraId="659131F5" w14:textId="6C58B0AD" w:rsidR="0091311D" w:rsidRPr="009F7B05" w:rsidRDefault="0091311D" w:rsidP="0091311D">
            <w:pPr>
              <w:pStyle w:val="headingbang"/>
              <w:spacing w:before="0" w:after="0" w:line="240" w:lineRule="auto"/>
              <w:rPr>
                <w:rFonts w:ascii="Arial" w:hAnsi="Arial" w:cs="Arial"/>
                <w:b w:val="0"/>
                <w:noProof w:val="0"/>
                <w:color w:val="auto"/>
                <w:szCs w:val="20"/>
              </w:rPr>
            </w:pPr>
            <w:proofErr w:type="spellStart"/>
            <w:r>
              <w:rPr>
                <w:rFonts w:ascii="Arial" w:hAnsi="Arial" w:cs="Arial"/>
                <w:b w:val="0"/>
                <w:noProof w:val="0"/>
                <w:color w:val="auto"/>
                <w:szCs w:val="20"/>
              </w:rPr>
              <w:t>HoanNK</w:t>
            </w:r>
            <w:proofErr w:type="spellEnd"/>
          </w:p>
        </w:tc>
      </w:tr>
    </w:tbl>
    <w:p w14:paraId="63D7A501" w14:textId="21539DE4" w:rsidR="00AA17EC" w:rsidRDefault="005C17B9" w:rsidP="00892FBC">
      <w:pPr>
        <w:pStyle w:val="Heading1"/>
        <w:rPr>
          <w:rFonts w:cs="Arial"/>
        </w:rPr>
      </w:pPr>
      <w:bookmarkStart w:id="0" w:name="_Toc118460899"/>
      <w:r w:rsidRPr="002C0ED4">
        <w:rPr>
          <w:rFonts w:cs="Arial"/>
        </w:rPr>
        <w:lastRenderedPageBreak/>
        <w:t>I</w:t>
      </w:r>
      <w:r w:rsidR="0093621D">
        <w:rPr>
          <w:rFonts w:cs="Arial"/>
        </w:rPr>
        <w:t>NTRODUCTION</w:t>
      </w:r>
      <w:bookmarkEnd w:id="0"/>
    </w:p>
    <w:p w14:paraId="2005F95D" w14:textId="4BDC1672" w:rsidR="006C209B" w:rsidRPr="006C209B" w:rsidRDefault="00AE6B4B" w:rsidP="0053345F">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53345F">
      <w:pPr>
        <w:pStyle w:val="Heading2"/>
        <w:jc w:val="both"/>
        <w:rPr>
          <w:rFonts w:cs="Arial"/>
        </w:rPr>
      </w:pPr>
      <w:bookmarkStart w:id="1" w:name="_Toc118460900"/>
      <w:r w:rsidRPr="002C0ED4">
        <w:rPr>
          <w:rFonts w:cs="Arial"/>
        </w:rPr>
        <w:t>Purpose</w:t>
      </w:r>
      <w:bookmarkEnd w:id="1"/>
    </w:p>
    <w:p w14:paraId="3682BAAD" w14:textId="6C044E33" w:rsidR="001C2F3E" w:rsidRDefault="001C2F3E" w:rsidP="0053345F">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91311D">
        <w:t>2</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53345F">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343B1830" w:rsidR="00F63E0F" w:rsidRDefault="001C2F3E" w:rsidP="0053345F">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9D0B62">
        <w:t>Statement,</w:t>
      </w:r>
      <w:r>
        <w:t xml:space="preserve"> and information security policies.</w:t>
      </w:r>
    </w:p>
    <w:p w14:paraId="4D2C2EA2" w14:textId="41F5F82F" w:rsidR="009D0B62" w:rsidRPr="00A94905" w:rsidRDefault="009D0B62" w:rsidP="009D0B62">
      <w:pPr>
        <w:pStyle w:val="BodyText"/>
        <w:jc w:val="both"/>
      </w:pPr>
      <w:r w:rsidRPr="00A94905">
        <w:t xml:space="preserve">This procedure aims to ensure that </w:t>
      </w:r>
      <w:r>
        <w:t>FPT Software</w:t>
      </w:r>
      <w:r w:rsidRPr="00A94905">
        <w:t xml:space="preserve"> shall continually improve the personal information security management system’s (PIMS) adequacy, suitability, and effectiveness.</w:t>
      </w:r>
    </w:p>
    <w:p w14:paraId="4A6CDB77" w14:textId="77777777" w:rsidR="009D0B62" w:rsidRDefault="009D0B62" w:rsidP="0053345F">
      <w:pPr>
        <w:pStyle w:val="BodyText"/>
        <w:jc w:val="both"/>
      </w:pPr>
    </w:p>
    <w:p w14:paraId="5D533E96" w14:textId="2FAF4071" w:rsidR="001C2F3E" w:rsidRPr="001C2F3E" w:rsidRDefault="00F63E0F" w:rsidP="00F63E0F">
      <w:pPr>
        <w:spacing w:before="0" w:line="240" w:lineRule="auto"/>
      </w:pPr>
      <w:r>
        <w:br w:type="page"/>
      </w:r>
    </w:p>
    <w:p w14:paraId="51FA6622" w14:textId="2C82B3B6" w:rsidR="00CF27BE" w:rsidRPr="005B0E65" w:rsidRDefault="00AA17EC" w:rsidP="00ED729C">
      <w:pPr>
        <w:pStyle w:val="Heading2"/>
        <w:rPr>
          <w:rFonts w:cs="Arial"/>
        </w:rPr>
      </w:pPr>
      <w:bookmarkStart w:id="2" w:name="_Toc138667729"/>
      <w:bookmarkStart w:id="3" w:name="_Toc118460901"/>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28179C04" w14:textId="77777777" w:rsidR="00CE03C9" w:rsidRDefault="00CE03C9" w:rsidP="0053345F">
      <w:pPr>
        <w:jc w:val="both"/>
        <w:rPr>
          <w:rFonts w:cs="Arial"/>
        </w:rPr>
      </w:pPr>
      <w:r w:rsidRPr="00CE03C9">
        <w:rPr>
          <w:rFonts w:cs="Arial"/>
        </w:rPr>
        <w:t xml:space="preserve">All individuals working under </w:t>
      </w:r>
      <w:sdt>
        <w:sdtPr>
          <w:rPr>
            <w:rFonts w:cs="Arial"/>
            <w:lang w:val="en-GB"/>
          </w:rPr>
          <w:alias w:val="CompanyName"/>
          <w:tag w:val="CompanyName"/>
          <w:id w:val="962081689"/>
          <w:placeholder>
            <w:docPart w:val="2743CFE098749144AFD617DA14CEFDE7"/>
          </w:placeholder>
          <w:text/>
        </w:sdtPr>
        <w:sdtEndPr/>
        <w:sdtContent>
          <w:r>
            <w:rPr>
              <w:rFonts w:cs="Arial"/>
              <w:lang w:val="en-GB"/>
            </w:rPr>
            <w:t>FPT Software</w:t>
          </w:r>
        </w:sdtContent>
      </w:sdt>
      <w:r w:rsidRPr="00CE03C9">
        <w:rPr>
          <w:rFonts w:cs="Arial"/>
        </w:rPr>
        <w:t>’s control are within the scope of this procedure.</w:t>
      </w:r>
      <w:r w:rsidRPr="00CE03C9">
        <w:rPr>
          <w:rFonts w:cs="Arial"/>
        </w:rPr>
        <w:tab/>
      </w:r>
    </w:p>
    <w:p w14:paraId="67FD0245" w14:textId="4080CBCF" w:rsidR="00ED729C" w:rsidRPr="00ED729C" w:rsidRDefault="00ED729C" w:rsidP="0053345F">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53345F">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2FC9D756" w:rsidR="00343E11" w:rsidRDefault="002639A3" w:rsidP="0053345F">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515776">
        <w:rPr>
          <w:rFonts w:cs="Arial"/>
        </w:rPr>
        <w:t xml:space="preserve"> See </w:t>
      </w:r>
      <w:proofErr w:type="spellStart"/>
      <w:r w:rsidR="00515776" w:rsidRPr="00515776">
        <w:rPr>
          <w:rFonts w:cs="Arial"/>
        </w:rPr>
        <w:t>Guideline_PIMS</w:t>
      </w:r>
      <w:proofErr w:type="spellEnd"/>
      <w:r w:rsidR="00515776" w:rsidRPr="00515776">
        <w:rPr>
          <w:rFonts w:cs="Arial"/>
        </w:rPr>
        <w:t xml:space="preserve"> Scope_v1.</w:t>
      </w:r>
      <w:r w:rsidR="0091311D">
        <w:rPr>
          <w:rFonts w:cs="Arial"/>
        </w:rPr>
        <w:t>2</w:t>
      </w:r>
      <w:r w:rsidR="00515776">
        <w:rPr>
          <w:rFonts w:cs="Arial"/>
        </w:rPr>
        <w:t>.</w:t>
      </w:r>
    </w:p>
    <w:p w14:paraId="6CB24AA3" w14:textId="77777777" w:rsidR="002639A3" w:rsidRDefault="002639A3" w:rsidP="0053345F">
      <w:pPr>
        <w:pStyle w:val="Heading2"/>
        <w:jc w:val="both"/>
      </w:pPr>
      <w:bookmarkStart w:id="4" w:name="_Toc15371751"/>
      <w:bookmarkStart w:id="5" w:name="_Toc15975605"/>
      <w:bookmarkStart w:id="6" w:name="_Toc118460902"/>
      <w:r>
        <w:t>Application of national Laws</w:t>
      </w:r>
      <w:bookmarkEnd w:id="4"/>
      <w:bookmarkEnd w:id="5"/>
      <w:bookmarkEnd w:id="6"/>
    </w:p>
    <w:p w14:paraId="0EE63E1D" w14:textId="5D84F903" w:rsidR="002639A3" w:rsidRPr="009F42B7" w:rsidRDefault="002639A3" w:rsidP="0053345F">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4DF4E0DA" w:rsidR="00F63E0F" w:rsidRDefault="002639A3" w:rsidP="0053345F">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4662E628" w14:textId="77777777" w:rsidR="00A94905" w:rsidRDefault="00A94905" w:rsidP="0053345F">
      <w:pPr>
        <w:pStyle w:val="BodyText"/>
        <w:jc w:val="both"/>
        <w:rPr>
          <w:lang w:val="en-GB"/>
        </w:rPr>
      </w:pPr>
    </w:p>
    <w:p w14:paraId="6FD54F2D" w14:textId="7AE48CF0" w:rsidR="002639A3" w:rsidRPr="00ED729C" w:rsidRDefault="00F63E0F" w:rsidP="0053345F">
      <w:pPr>
        <w:spacing w:before="0" w:line="240" w:lineRule="auto"/>
        <w:jc w:val="both"/>
        <w:rPr>
          <w:lang w:val="en-GB"/>
        </w:rPr>
      </w:pPr>
      <w:r>
        <w:rPr>
          <w:lang w:val="en-GB"/>
        </w:rPr>
        <w:br w:type="page"/>
      </w:r>
    </w:p>
    <w:p w14:paraId="06B67BCB" w14:textId="753C27F6" w:rsidR="008A40B6" w:rsidRPr="007D21A0" w:rsidRDefault="00ED729C" w:rsidP="0053345F">
      <w:pPr>
        <w:pStyle w:val="Heading2"/>
        <w:jc w:val="both"/>
        <w:rPr>
          <w:rFonts w:cs="Arial"/>
        </w:rPr>
      </w:pPr>
      <w:bookmarkStart w:id="7" w:name="_Toc118460903"/>
      <w:r>
        <w:rPr>
          <w:rFonts w:cs="Arial"/>
        </w:rPr>
        <w:lastRenderedPageBreak/>
        <w:t>Responsibilities</w:t>
      </w:r>
      <w:bookmarkEnd w:id="7"/>
    </w:p>
    <w:p w14:paraId="2CA4784A" w14:textId="73EDC385" w:rsidR="00515776" w:rsidRPr="00515776" w:rsidRDefault="00515776" w:rsidP="00515776">
      <w:pPr>
        <w:pStyle w:val="BodyText"/>
        <w:jc w:val="both"/>
        <w:rPr>
          <w:lang w:val="en-GB"/>
        </w:rPr>
      </w:pPr>
      <w:r w:rsidRPr="00515776">
        <w:rPr>
          <w:lang w:val="en-GB"/>
        </w:rPr>
        <w:t xml:space="preserve">The </w:t>
      </w:r>
      <w:r>
        <w:t>Global</w:t>
      </w:r>
      <w:r w:rsidRPr="00515776">
        <w:rPr>
          <w:lang w:val="en-GB"/>
        </w:rPr>
        <w:t xml:space="preserve"> </w:t>
      </w:r>
      <w:sdt>
        <w:sdtPr>
          <w:rPr>
            <w:lang w:val="en-GB"/>
          </w:rPr>
          <w:alias w:val="DataProtectionOfficer"/>
          <w:tag w:val="DataProtectionOfficer"/>
          <w:id w:val="-1129240060"/>
          <w:placeholder>
            <w:docPart w:val="107F3DD4F2675F40847EFAF51686BB79"/>
          </w:placeholder>
          <w:text/>
        </w:sdtPr>
        <w:sdtEndPr/>
        <w:sdtContent>
          <w:r w:rsidRPr="00515776">
            <w:rPr>
              <w:lang w:val="en-GB"/>
            </w:rPr>
            <w:t>Data Protection Officer</w:t>
          </w:r>
        </w:sdtContent>
      </w:sdt>
      <w:r w:rsidRPr="00515776">
        <w:rPr>
          <w:lang w:val="en-GB"/>
        </w:rPr>
        <w:t xml:space="preserve"> </w:t>
      </w:r>
      <w:r>
        <w:rPr>
          <w:lang w:val="en-GB"/>
        </w:rPr>
        <w:t>is</w:t>
      </w:r>
      <w:r w:rsidRPr="00515776">
        <w:rPr>
          <w:lang w:val="en-GB"/>
        </w:rPr>
        <w:t xml:space="preserve"> responsible for the overview and implementation of this procedure.</w:t>
      </w:r>
    </w:p>
    <w:p w14:paraId="378FB2C0" w14:textId="2E09BE9F" w:rsidR="004B21A2" w:rsidRPr="004B21A2" w:rsidRDefault="004B21A2" w:rsidP="004B21A2">
      <w:pPr>
        <w:pStyle w:val="BodyText"/>
        <w:jc w:val="both"/>
      </w:pPr>
      <w:r w:rsidRPr="004B21A2">
        <w:t xml:space="preserve">Every individual involved directly or indirectly with </w:t>
      </w:r>
      <w:r>
        <w:t>FPT Software</w:t>
      </w:r>
      <w:r w:rsidRPr="004B21A2">
        <w:t xml:space="preserve"> is responsible for initiating and complying with this procedure as and when it applies and involves them.</w:t>
      </w:r>
    </w:p>
    <w:p w14:paraId="1EC9398F" w14:textId="0E20B6CA" w:rsidR="004B21A2" w:rsidRPr="004B21A2" w:rsidRDefault="004B21A2" w:rsidP="004B21A2">
      <w:pPr>
        <w:pStyle w:val="BodyText"/>
        <w:jc w:val="both"/>
      </w:pPr>
      <w:r w:rsidRPr="004B21A2">
        <w:t xml:space="preserve">The </w:t>
      </w:r>
      <w:r>
        <w:t>Global Data Protection Officer</w:t>
      </w:r>
      <w:r w:rsidRPr="004B21A2">
        <w:t xml:space="preserve"> is responsible for the overall control and operation of this procedure and for progressing and coordinating all Non-Conformance Reports.</w:t>
      </w:r>
    </w:p>
    <w:p w14:paraId="28B1EA35" w14:textId="640857AF" w:rsidR="004B21A2" w:rsidRPr="004B21A2" w:rsidRDefault="004B21A2" w:rsidP="004B21A2">
      <w:pPr>
        <w:pStyle w:val="BodyText"/>
        <w:jc w:val="both"/>
      </w:pPr>
      <w:r>
        <w:t>FSU Lead/Department Lead is</w:t>
      </w:r>
      <w:r w:rsidRPr="004B21A2">
        <w:t xml:space="preserve"> responsible for progressing Non-Conformance Reports that are capable of resolution within their area and forwarding them and others to the </w:t>
      </w:r>
      <w:r>
        <w:t>GDPO</w:t>
      </w:r>
      <w:r w:rsidRPr="004B21A2">
        <w:t>.</w:t>
      </w:r>
    </w:p>
    <w:p w14:paraId="4C72C321" w14:textId="77777777" w:rsidR="004B21A2" w:rsidRPr="004B21A2" w:rsidRDefault="004B21A2" w:rsidP="004B21A2">
      <w:pPr>
        <w:pStyle w:val="BodyText"/>
        <w:jc w:val="both"/>
      </w:pPr>
    </w:p>
    <w:p w14:paraId="69B49497" w14:textId="77777777" w:rsidR="004B21A2" w:rsidRPr="004B21A2" w:rsidRDefault="004B21A2" w:rsidP="004B21A2">
      <w:pPr>
        <w:pStyle w:val="BodyText"/>
        <w:jc w:val="both"/>
      </w:pPr>
    </w:p>
    <w:p w14:paraId="6000230A" w14:textId="004D1F9D" w:rsidR="00A0142A" w:rsidRDefault="00A0142A" w:rsidP="0053345F">
      <w:pPr>
        <w:pStyle w:val="BodyText"/>
        <w:jc w:val="both"/>
      </w:pPr>
    </w:p>
    <w:p w14:paraId="29C26982" w14:textId="77777777" w:rsidR="00A0142A" w:rsidRPr="005951B4" w:rsidRDefault="00A0142A" w:rsidP="0053345F">
      <w:pPr>
        <w:pStyle w:val="BodyText"/>
        <w:jc w:val="both"/>
      </w:pPr>
    </w:p>
    <w:p w14:paraId="6AD20923" w14:textId="7CACD215" w:rsidR="008F6BC2" w:rsidRDefault="008F6BC2" w:rsidP="008F6BC2">
      <w:pPr>
        <w:pStyle w:val="BodyText"/>
        <w:rPr>
          <w:lang w:val="en-GB"/>
        </w:rPr>
      </w:pPr>
      <w:r w:rsidRPr="008F6BC2">
        <w:rPr>
          <w:lang w:val="en-GB"/>
        </w:rPr>
        <w:t>.</w:t>
      </w:r>
    </w:p>
    <w:p w14:paraId="0D0459F5" w14:textId="7AFBC16D" w:rsidR="007323A9" w:rsidRDefault="007323A9" w:rsidP="008F6BC2">
      <w:pPr>
        <w:pStyle w:val="BodyText"/>
        <w:rPr>
          <w:lang w:val="en-GB"/>
        </w:rPr>
      </w:pPr>
    </w:p>
    <w:p w14:paraId="27385FFF" w14:textId="38C7749B" w:rsidR="007323A9" w:rsidRDefault="007323A9" w:rsidP="008F6BC2">
      <w:pPr>
        <w:pStyle w:val="BodyText"/>
        <w:rPr>
          <w:lang w:val="en-GB"/>
        </w:rPr>
      </w:pPr>
    </w:p>
    <w:p w14:paraId="56D13646" w14:textId="331BFEB6" w:rsidR="007323A9" w:rsidRDefault="007323A9" w:rsidP="008F6BC2">
      <w:pPr>
        <w:pStyle w:val="BodyText"/>
        <w:rPr>
          <w:lang w:val="en-GB"/>
        </w:rPr>
      </w:pPr>
    </w:p>
    <w:p w14:paraId="54075971" w14:textId="38FF2F46" w:rsidR="007323A9" w:rsidRDefault="007323A9" w:rsidP="008F6BC2">
      <w:pPr>
        <w:pStyle w:val="BodyText"/>
        <w:rPr>
          <w:lang w:val="en-GB"/>
        </w:rPr>
      </w:pPr>
    </w:p>
    <w:p w14:paraId="30C5677F" w14:textId="20204F87" w:rsidR="007323A9" w:rsidRDefault="007323A9" w:rsidP="008F6BC2">
      <w:pPr>
        <w:pStyle w:val="BodyText"/>
        <w:rPr>
          <w:lang w:val="en-GB"/>
        </w:rPr>
      </w:pPr>
    </w:p>
    <w:p w14:paraId="1297A019" w14:textId="5DE59F72" w:rsidR="007323A9" w:rsidRDefault="007323A9" w:rsidP="008F6BC2">
      <w:pPr>
        <w:pStyle w:val="BodyText"/>
        <w:rPr>
          <w:lang w:val="en-GB"/>
        </w:rPr>
      </w:pPr>
    </w:p>
    <w:p w14:paraId="4D22B360" w14:textId="47485758" w:rsidR="007323A9" w:rsidRDefault="007323A9" w:rsidP="008F6BC2">
      <w:pPr>
        <w:pStyle w:val="BodyText"/>
        <w:rPr>
          <w:lang w:val="en-GB"/>
        </w:rPr>
      </w:pPr>
    </w:p>
    <w:p w14:paraId="3D4BB345" w14:textId="1C2931EA" w:rsidR="007323A9" w:rsidRDefault="007323A9" w:rsidP="008F6BC2">
      <w:pPr>
        <w:pStyle w:val="BodyText"/>
        <w:rPr>
          <w:lang w:val="en-GB"/>
        </w:rPr>
      </w:pPr>
    </w:p>
    <w:p w14:paraId="736C9B4C" w14:textId="288EA2C7" w:rsidR="007323A9" w:rsidRDefault="007323A9" w:rsidP="008F6BC2">
      <w:pPr>
        <w:pStyle w:val="BodyText"/>
        <w:rPr>
          <w:lang w:val="en-GB"/>
        </w:rPr>
      </w:pPr>
    </w:p>
    <w:p w14:paraId="030782FD" w14:textId="5238DD74" w:rsidR="007323A9" w:rsidRDefault="007323A9" w:rsidP="008F6BC2">
      <w:pPr>
        <w:pStyle w:val="BodyText"/>
        <w:rPr>
          <w:lang w:val="en-GB"/>
        </w:rPr>
      </w:pPr>
    </w:p>
    <w:p w14:paraId="6A949829" w14:textId="619E58C0" w:rsidR="007323A9" w:rsidRDefault="007323A9" w:rsidP="008F6BC2">
      <w:pPr>
        <w:pStyle w:val="BodyText"/>
        <w:rPr>
          <w:lang w:val="en-GB"/>
        </w:rPr>
      </w:pPr>
    </w:p>
    <w:p w14:paraId="12BFA142" w14:textId="5C9A1CD8" w:rsidR="007323A9" w:rsidRDefault="007323A9" w:rsidP="008F6BC2">
      <w:pPr>
        <w:pStyle w:val="BodyText"/>
        <w:rPr>
          <w:lang w:val="en-GB"/>
        </w:rPr>
      </w:pPr>
    </w:p>
    <w:p w14:paraId="1F516955" w14:textId="114293B6" w:rsidR="007323A9" w:rsidRDefault="007323A9" w:rsidP="008F6BC2">
      <w:pPr>
        <w:pStyle w:val="BodyText"/>
        <w:rPr>
          <w:lang w:val="en-GB"/>
        </w:rPr>
      </w:pPr>
    </w:p>
    <w:p w14:paraId="42295893" w14:textId="4737E6BA" w:rsidR="007323A9" w:rsidRDefault="007323A9" w:rsidP="008F6BC2">
      <w:pPr>
        <w:pStyle w:val="BodyText"/>
        <w:rPr>
          <w:lang w:val="en-GB"/>
        </w:rPr>
      </w:pPr>
    </w:p>
    <w:p w14:paraId="469B59EB" w14:textId="50D558DF" w:rsidR="007323A9" w:rsidRDefault="007323A9" w:rsidP="008F6BC2">
      <w:pPr>
        <w:pStyle w:val="BodyText"/>
        <w:rPr>
          <w:lang w:val="en-GB"/>
        </w:rPr>
      </w:pPr>
    </w:p>
    <w:p w14:paraId="23BF4E50" w14:textId="7D2C0ABB" w:rsidR="007323A9" w:rsidRDefault="007323A9" w:rsidP="008F6BC2">
      <w:pPr>
        <w:pStyle w:val="BodyText"/>
        <w:rPr>
          <w:lang w:val="en-GB"/>
        </w:rPr>
      </w:pPr>
    </w:p>
    <w:p w14:paraId="3AD300B5" w14:textId="13D776A4" w:rsidR="00825ABD" w:rsidRPr="00F63E0F" w:rsidRDefault="00BC4910" w:rsidP="00F73277">
      <w:pPr>
        <w:pStyle w:val="Heading1"/>
        <w:rPr>
          <w:rFonts w:cs="Arial"/>
        </w:rPr>
      </w:pPr>
      <w:bookmarkStart w:id="8" w:name="_Toc118460904"/>
      <w:r>
        <w:rPr>
          <w:rFonts w:cs="Arial"/>
        </w:rPr>
        <w:lastRenderedPageBreak/>
        <w:t>Procedure</w:t>
      </w:r>
      <w:bookmarkEnd w:id="8"/>
    </w:p>
    <w:p w14:paraId="23481273" w14:textId="74DEB066" w:rsidR="00006C40" w:rsidRPr="00006C40" w:rsidRDefault="00006C40" w:rsidP="00012A1C">
      <w:pPr>
        <w:jc w:val="both"/>
        <w:rPr>
          <w:rFonts w:cs="Arial"/>
        </w:rPr>
      </w:pPr>
      <w:r w:rsidRPr="00006C40">
        <w:rPr>
          <w:rFonts w:cs="Arial"/>
        </w:rPr>
        <w:t>Sources of information that can drive continual improvement</w:t>
      </w:r>
      <w:r w:rsidR="00012A1C">
        <w:rPr>
          <w:rFonts w:cs="Arial"/>
        </w:rPr>
        <w:t>:</w:t>
      </w:r>
    </w:p>
    <w:p w14:paraId="1EF87AFB" w14:textId="77777777" w:rsidR="00006C40" w:rsidRPr="00012A1C" w:rsidRDefault="00006C40" w:rsidP="00507C47">
      <w:pPr>
        <w:pStyle w:val="ListParagraph"/>
        <w:numPr>
          <w:ilvl w:val="0"/>
          <w:numId w:val="5"/>
        </w:numPr>
        <w:jc w:val="both"/>
        <w:rPr>
          <w:rFonts w:cs="Arial"/>
        </w:rPr>
      </w:pPr>
      <w:r w:rsidRPr="00012A1C">
        <w:rPr>
          <w:rFonts w:cs="Arial"/>
        </w:rPr>
        <w:t>Post-incident reports</w:t>
      </w:r>
    </w:p>
    <w:p w14:paraId="3D92A150" w14:textId="77777777" w:rsidR="00006C40" w:rsidRPr="00012A1C" w:rsidRDefault="00006C40" w:rsidP="00507C47">
      <w:pPr>
        <w:pStyle w:val="ListParagraph"/>
        <w:numPr>
          <w:ilvl w:val="0"/>
          <w:numId w:val="5"/>
        </w:numPr>
        <w:jc w:val="both"/>
        <w:rPr>
          <w:rFonts w:cs="Arial"/>
        </w:rPr>
      </w:pPr>
      <w:r w:rsidRPr="00012A1C">
        <w:rPr>
          <w:rFonts w:cs="Arial"/>
        </w:rPr>
        <w:t>Exercise reports</w:t>
      </w:r>
    </w:p>
    <w:p w14:paraId="3D434165" w14:textId="77777777" w:rsidR="00006C40" w:rsidRPr="00012A1C" w:rsidRDefault="00006C40" w:rsidP="00507C47">
      <w:pPr>
        <w:pStyle w:val="ListParagraph"/>
        <w:numPr>
          <w:ilvl w:val="0"/>
          <w:numId w:val="5"/>
        </w:numPr>
        <w:jc w:val="both"/>
        <w:rPr>
          <w:rFonts w:cs="Arial"/>
        </w:rPr>
      </w:pPr>
      <w:r w:rsidRPr="00012A1C">
        <w:rPr>
          <w:rFonts w:cs="Arial"/>
        </w:rPr>
        <w:t>Audit and nonconformity reports</w:t>
      </w:r>
    </w:p>
    <w:p w14:paraId="58309688" w14:textId="5A82920E" w:rsidR="00006C40" w:rsidRPr="00012A1C" w:rsidRDefault="00006C40" w:rsidP="00507C47">
      <w:pPr>
        <w:pStyle w:val="ListParagraph"/>
        <w:numPr>
          <w:ilvl w:val="0"/>
          <w:numId w:val="5"/>
        </w:numPr>
        <w:jc w:val="both"/>
        <w:rPr>
          <w:rFonts w:cs="Arial"/>
        </w:rPr>
      </w:pPr>
      <w:r w:rsidRPr="00012A1C">
        <w:rPr>
          <w:rFonts w:cs="Arial"/>
        </w:rPr>
        <w:t xml:space="preserve">Suggestions from staff, managers, and interested parties such as customers, partners, supplier, regulators </w:t>
      </w:r>
    </w:p>
    <w:p w14:paraId="24AFBB63" w14:textId="7959D8AB" w:rsidR="00006C40" w:rsidRDefault="00006C40" w:rsidP="001E1778">
      <w:pPr>
        <w:jc w:val="both"/>
        <w:rPr>
          <w:rFonts w:cs="Arial"/>
          <w:lang w:val="en-GB"/>
        </w:rPr>
      </w:pPr>
    </w:p>
    <w:p w14:paraId="7A2CED41" w14:textId="3590079D" w:rsidR="00677EE6" w:rsidRPr="00677EE6" w:rsidRDefault="00677EE6" w:rsidP="00677EE6">
      <w:pPr>
        <w:jc w:val="both"/>
        <w:rPr>
          <w:rFonts w:cs="Arial"/>
        </w:rPr>
      </w:pPr>
      <w:r w:rsidRPr="00677EE6">
        <w:rPr>
          <w:rFonts w:cs="Arial"/>
        </w:rPr>
        <w:t xml:space="preserve">Such information should be sent to the </w:t>
      </w:r>
      <w:r>
        <w:rPr>
          <w:rFonts w:cs="Arial"/>
        </w:rPr>
        <w:t>GDPO</w:t>
      </w:r>
      <w:r w:rsidRPr="00677EE6">
        <w:rPr>
          <w:rFonts w:cs="Arial"/>
        </w:rPr>
        <w:t>, either by delivering the report in question, verbally or by using a Non-Conformance Report</w:t>
      </w:r>
      <w:r>
        <w:rPr>
          <w:rFonts w:cs="Arial"/>
        </w:rPr>
        <w:t xml:space="preserve"> </w:t>
      </w:r>
      <w:proofErr w:type="spellStart"/>
      <w:r w:rsidRPr="00677EE6">
        <w:rPr>
          <w:rFonts w:cs="Arial"/>
        </w:rPr>
        <w:t>Template_Non</w:t>
      </w:r>
      <w:proofErr w:type="spellEnd"/>
      <w:r>
        <w:rPr>
          <w:rFonts w:cs="Arial"/>
        </w:rPr>
        <w:t xml:space="preserve"> </w:t>
      </w:r>
      <w:r w:rsidRPr="00677EE6">
        <w:rPr>
          <w:rFonts w:cs="Arial"/>
        </w:rPr>
        <w:t>Conformance Report_v1.</w:t>
      </w:r>
      <w:r w:rsidR="0091311D">
        <w:rPr>
          <w:rFonts w:cs="Arial"/>
        </w:rPr>
        <w:t>1</w:t>
      </w:r>
      <w:r w:rsidRPr="00677EE6">
        <w:rPr>
          <w:rFonts w:cs="Arial"/>
        </w:rPr>
        <w:t>.</w:t>
      </w:r>
    </w:p>
    <w:p w14:paraId="2896D65E" w14:textId="4BA66BB4" w:rsidR="00677EE6" w:rsidRPr="00677EE6" w:rsidRDefault="00677EE6" w:rsidP="00677EE6">
      <w:pPr>
        <w:jc w:val="both"/>
        <w:rPr>
          <w:rFonts w:cs="Arial"/>
        </w:rPr>
      </w:pPr>
      <w:r w:rsidRPr="00677EE6">
        <w:rPr>
          <w:rFonts w:cs="Arial"/>
        </w:rPr>
        <w:t xml:space="preserve">If a corrective action is required, </w:t>
      </w:r>
      <w:r>
        <w:rPr>
          <w:rFonts w:cs="Arial"/>
        </w:rPr>
        <w:t xml:space="preserve">GDPO </w:t>
      </w:r>
      <w:r w:rsidRPr="00677EE6">
        <w:rPr>
          <w:rFonts w:cs="Arial"/>
        </w:rPr>
        <w:t>should initiate a formal Corrective Action.</w:t>
      </w:r>
    </w:p>
    <w:p w14:paraId="3DAAA273" w14:textId="6C3CAA41" w:rsidR="00677EE6" w:rsidRPr="00677EE6" w:rsidRDefault="00677EE6" w:rsidP="00677EE6">
      <w:pPr>
        <w:jc w:val="both"/>
        <w:rPr>
          <w:rFonts w:cs="Arial"/>
        </w:rPr>
      </w:pPr>
      <w:r w:rsidRPr="00677EE6">
        <w:rPr>
          <w:rFonts w:cs="Arial"/>
        </w:rPr>
        <w:t xml:space="preserve">If a new risk or potential problem is identified, the </w:t>
      </w:r>
      <w:r>
        <w:rPr>
          <w:rFonts w:cs="Arial"/>
        </w:rPr>
        <w:t>GDPO</w:t>
      </w:r>
      <w:r w:rsidRPr="00677EE6">
        <w:rPr>
          <w:rFonts w:cs="Arial"/>
        </w:rPr>
        <w:t xml:space="preserve"> should feed it into the risk assessment process </w:t>
      </w:r>
      <w:proofErr w:type="spellStart"/>
      <w:r>
        <w:rPr>
          <w:rFonts w:cs="Arial"/>
        </w:rPr>
        <w:t>DPIA</w:t>
      </w:r>
      <w:proofErr w:type="spellEnd"/>
      <w:r>
        <w:rPr>
          <w:rFonts w:cs="Arial"/>
        </w:rPr>
        <w:t xml:space="preserve"> </w:t>
      </w:r>
      <w:proofErr w:type="spellStart"/>
      <w:r w:rsidRPr="00677EE6">
        <w:rPr>
          <w:rFonts w:cs="Arial"/>
        </w:rPr>
        <w:t>Guideline_Risk</w:t>
      </w:r>
      <w:proofErr w:type="spellEnd"/>
      <w:r w:rsidRPr="00677EE6">
        <w:rPr>
          <w:rFonts w:cs="Arial"/>
        </w:rPr>
        <w:t xml:space="preserve"> Management_DPIA_v2.</w:t>
      </w:r>
      <w:r w:rsidR="0091311D">
        <w:rPr>
          <w:rFonts w:cs="Arial"/>
        </w:rPr>
        <w:t>3</w:t>
      </w:r>
      <w:r>
        <w:rPr>
          <w:rFonts w:cs="Arial"/>
        </w:rPr>
        <w:t xml:space="preserve"> </w:t>
      </w:r>
      <w:r w:rsidRPr="00677EE6">
        <w:rPr>
          <w:rFonts w:cs="Arial"/>
        </w:rPr>
        <w:t>as appropriate, to trigger evaluation and possibly changing the PIMS to accommodate it.</w:t>
      </w:r>
    </w:p>
    <w:p w14:paraId="7A4D7BC3" w14:textId="7AD3419B" w:rsidR="006D0E11" w:rsidRPr="007A4DCF" w:rsidRDefault="006D0E11" w:rsidP="002B204D">
      <w:pPr>
        <w:pStyle w:val="Heading1"/>
        <w:rPr>
          <w:rFonts w:cs="Arial"/>
        </w:rPr>
      </w:pPr>
      <w:bookmarkStart w:id="9" w:name="_Toc118460905"/>
      <w:r>
        <w:rPr>
          <w:rFonts w:cs="Arial"/>
        </w:rPr>
        <w:lastRenderedPageBreak/>
        <w:t>Document Owner and Approval</w:t>
      </w:r>
      <w:bookmarkEnd w:id="9"/>
    </w:p>
    <w:p w14:paraId="0991E6FF" w14:textId="6C66F4D7" w:rsidR="006D0E11" w:rsidRPr="008B0774" w:rsidRDefault="006D0E11" w:rsidP="0053345F">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Guideline_policy_development_V2.</w:t>
      </w:r>
      <w:r w:rsidR="0091311D">
        <w:rPr>
          <w:rFonts w:cs="Arial"/>
        </w:rPr>
        <w:t>2</w:t>
      </w:r>
      <w:r w:rsidRPr="008B0774">
        <w:rPr>
          <w:rFonts w:cs="Arial"/>
        </w:rPr>
        <w:t xml:space="preserve">. </w:t>
      </w:r>
    </w:p>
    <w:p w14:paraId="3D57818E" w14:textId="77777777" w:rsidR="006D0E11" w:rsidRPr="008B0774" w:rsidRDefault="006D0E11" w:rsidP="0053345F">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53345F">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0" w:name="_Toc16673582"/>
      <w:bookmarkStart w:id="11" w:name="_Toc118460906"/>
      <w:r w:rsidRPr="00BB4EA6">
        <w:rPr>
          <w:rFonts w:cs="Arial"/>
          <w:caps/>
          <w:szCs w:val="24"/>
        </w:rPr>
        <w:lastRenderedPageBreak/>
        <w:t>APPENDIX</w:t>
      </w:r>
      <w:bookmarkEnd w:id="10"/>
      <w:bookmarkEnd w:id="11"/>
    </w:p>
    <w:p w14:paraId="3B94CA6D" w14:textId="315C2449" w:rsidR="003F643B" w:rsidRPr="00AF1ED8" w:rsidRDefault="00C248CD" w:rsidP="003F643B">
      <w:pPr>
        <w:pStyle w:val="BodyText"/>
        <w:outlineLvl w:val="1"/>
        <w:rPr>
          <w:i/>
          <w:sz w:val="22"/>
          <w:szCs w:val="22"/>
        </w:rPr>
      </w:pPr>
      <w:bookmarkStart w:id="12" w:name="_Toc72487523"/>
      <w:bookmarkStart w:id="13" w:name="_Toc72569843"/>
      <w:bookmarkStart w:id="14" w:name="_Toc118460907"/>
      <w:r w:rsidRPr="00AF1ED8">
        <w:rPr>
          <w:b/>
          <w:i/>
          <w:sz w:val="22"/>
          <w:szCs w:val="22"/>
        </w:rPr>
        <w:t>4</w:t>
      </w:r>
      <w:r w:rsidR="00C12364" w:rsidRPr="00AF1ED8">
        <w:rPr>
          <w:b/>
          <w:i/>
          <w:sz w:val="22"/>
          <w:szCs w:val="22"/>
        </w:rPr>
        <w:t>.</w:t>
      </w:r>
      <w:r w:rsidR="003F643B" w:rsidRPr="00AF1ED8">
        <w:rPr>
          <w:b/>
          <w:i/>
          <w:sz w:val="22"/>
          <w:szCs w:val="22"/>
        </w:rPr>
        <w:t>1      Definition</w:t>
      </w:r>
      <w:bookmarkEnd w:id="12"/>
      <w:bookmarkEnd w:id="13"/>
      <w:bookmarkEnd w:id="14"/>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0D28C5">
        <w:trPr>
          <w:tblHeader/>
        </w:trPr>
        <w:tc>
          <w:tcPr>
            <w:tcW w:w="2016" w:type="dxa"/>
            <w:shd w:val="clear" w:color="auto" w:fill="D9D9D9"/>
            <w:vAlign w:val="center"/>
          </w:tcPr>
          <w:p w14:paraId="56269CE6" w14:textId="77777777" w:rsidR="003F643B" w:rsidRPr="00D3376D" w:rsidRDefault="003F643B" w:rsidP="000D28C5">
            <w:pPr>
              <w:jc w:val="cente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0D28C5">
            <w:pPr>
              <w:jc w:val="center"/>
              <w:rPr>
                <w:rFonts w:cs="Arial"/>
              </w:rPr>
            </w:pPr>
            <w:r w:rsidRPr="00D3376D">
              <w:rPr>
                <w:rFonts w:cs="Arial"/>
              </w:rPr>
              <w:t>Description</w:t>
            </w:r>
          </w:p>
        </w:tc>
      </w:tr>
      <w:tr w:rsidR="003F643B" w:rsidRPr="008114CC" w14:paraId="011CD662" w14:textId="77777777" w:rsidTr="00404FD8">
        <w:tc>
          <w:tcPr>
            <w:tcW w:w="2016" w:type="dxa"/>
            <w:shd w:val="clear" w:color="auto" w:fill="FFFFFF"/>
            <w:vAlign w:val="center"/>
          </w:tcPr>
          <w:p w14:paraId="3E7981D0" w14:textId="77777777" w:rsidR="003F643B" w:rsidRPr="00D3376D" w:rsidRDefault="003F643B" w:rsidP="00404FD8">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vAlign w:val="center"/>
          </w:tcPr>
          <w:p w14:paraId="5675D297" w14:textId="77777777" w:rsidR="003F643B" w:rsidRPr="00D3376D" w:rsidRDefault="003F643B" w:rsidP="00404FD8">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404FD8">
        <w:tc>
          <w:tcPr>
            <w:tcW w:w="2016" w:type="dxa"/>
            <w:vAlign w:val="center"/>
          </w:tcPr>
          <w:p w14:paraId="4A5913D1" w14:textId="77777777" w:rsidR="003F643B" w:rsidRPr="00D3376D" w:rsidRDefault="003F643B" w:rsidP="00404FD8">
            <w:pPr>
              <w:pStyle w:val="BodyText"/>
              <w:spacing w:after="0"/>
            </w:pPr>
            <w:r w:rsidRPr="00D3376D">
              <w:t>Data Subject</w:t>
            </w:r>
          </w:p>
        </w:tc>
        <w:tc>
          <w:tcPr>
            <w:tcW w:w="7056" w:type="dxa"/>
            <w:vAlign w:val="center"/>
          </w:tcPr>
          <w:p w14:paraId="565A04D4" w14:textId="77777777" w:rsidR="003F643B" w:rsidRPr="00D3376D" w:rsidRDefault="003F643B" w:rsidP="00404FD8">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404FD8">
        <w:tc>
          <w:tcPr>
            <w:tcW w:w="2016" w:type="dxa"/>
            <w:vAlign w:val="center"/>
          </w:tcPr>
          <w:p w14:paraId="5932D950" w14:textId="77777777" w:rsidR="003F643B" w:rsidRPr="00D3376D" w:rsidRDefault="003F643B" w:rsidP="00404FD8">
            <w:pPr>
              <w:pStyle w:val="BodyText"/>
            </w:pPr>
            <w:r w:rsidRPr="00D3376D">
              <w:t>Data Controller</w:t>
            </w:r>
          </w:p>
        </w:tc>
        <w:tc>
          <w:tcPr>
            <w:tcW w:w="7056" w:type="dxa"/>
            <w:vAlign w:val="center"/>
          </w:tcPr>
          <w:p w14:paraId="0EC7BCFD" w14:textId="77777777" w:rsidR="003F643B" w:rsidRPr="00D3376D" w:rsidRDefault="003F643B" w:rsidP="00404FD8">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404FD8">
        <w:tc>
          <w:tcPr>
            <w:tcW w:w="2016" w:type="dxa"/>
            <w:vAlign w:val="center"/>
          </w:tcPr>
          <w:p w14:paraId="55935F51" w14:textId="77777777" w:rsidR="003F643B" w:rsidRPr="00D3376D" w:rsidRDefault="003F643B" w:rsidP="00404FD8">
            <w:pPr>
              <w:pStyle w:val="BodyText"/>
            </w:pPr>
            <w:r w:rsidRPr="00D3376D">
              <w:t>Data Processor</w:t>
            </w:r>
          </w:p>
        </w:tc>
        <w:tc>
          <w:tcPr>
            <w:tcW w:w="7056" w:type="dxa"/>
            <w:vAlign w:val="center"/>
          </w:tcPr>
          <w:p w14:paraId="11BC7D59" w14:textId="77777777" w:rsidR="003F643B" w:rsidRPr="00D3376D" w:rsidRDefault="003F643B" w:rsidP="00404FD8">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404FD8">
        <w:tc>
          <w:tcPr>
            <w:tcW w:w="2016" w:type="dxa"/>
            <w:vAlign w:val="center"/>
          </w:tcPr>
          <w:p w14:paraId="27895488" w14:textId="77777777" w:rsidR="003F643B" w:rsidRPr="00D3376D" w:rsidRDefault="003F643B" w:rsidP="00404FD8">
            <w:pPr>
              <w:pStyle w:val="BodyText"/>
            </w:pPr>
            <w:r w:rsidRPr="00D3376D">
              <w:t xml:space="preserve">Recipient </w:t>
            </w:r>
          </w:p>
        </w:tc>
        <w:tc>
          <w:tcPr>
            <w:tcW w:w="7056" w:type="dxa"/>
            <w:vAlign w:val="center"/>
          </w:tcPr>
          <w:p w14:paraId="5A7CA505" w14:textId="77777777" w:rsidR="003F643B" w:rsidRPr="00D3376D" w:rsidRDefault="003F643B" w:rsidP="00404FD8">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404FD8">
        <w:tc>
          <w:tcPr>
            <w:tcW w:w="2016" w:type="dxa"/>
            <w:vAlign w:val="center"/>
          </w:tcPr>
          <w:p w14:paraId="21B4729C" w14:textId="77777777" w:rsidR="003F643B" w:rsidRPr="00D3376D" w:rsidRDefault="003F643B" w:rsidP="00404FD8">
            <w:pPr>
              <w:pStyle w:val="BodyText"/>
            </w:pPr>
            <w:r w:rsidRPr="00D3376D">
              <w:t>Third Party</w:t>
            </w:r>
          </w:p>
        </w:tc>
        <w:tc>
          <w:tcPr>
            <w:tcW w:w="7056" w:type="dxa"/>
            <w:vAlign w:val="center"/>
          </w:tcPr>
          <w:p w14:paraId="229D88F0" w14:textId="77777777" w:rsidR="003F643B" w:rsidRPr="00D3376D" w:rsidRDefault="003F643B" w:rsidP="00404FD8">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404FD8">
        <w:tc>
          <w:tcPr>
            <w:tcW w:w="2016" w:type="dxa"/>
            <w:vAlign w:val="center"/>
          </w:tcPr>
          <w:p w14:paraId="2D9436F7" w14:textId="77777777" w:rsidR="003F643B" w:rsidRPr="00D3376D" w:rsidRDefault="003F643B" w:rsidP="00404FD8">
            <w:pPr>
              <w:pStyle w:val="BodyText"/>
            </w:pPr>
            <w:r w:rsidRPr="00D3376D">
              <w:t>DPO/GDPO</w:t>
            </w:r>
          </w:p>
        </w:tc>
        <w:tc>
          <w:tcPr>
            <w:tcW w:w="7056" w:type="dxa"/>
            <w:vAlign w:val="center"/>
          </w:tcPr>
          <w:p w14:paraId="2A0D7F8B" w14:textId="77777777" w:rsidR="003F643B" w:rsidRPr="00D3376D" w:rsidRDefault="003F643B" w:rsidP="00404FD8">
            <w:pPr>
              <w:pStyle w:val="BodyText"/>
            </w:pPr>
            <w:r w:rsidRPr="00D3376D">
              <w:t>Data Protection Officer/Global Data Protection Officer</w:t>
            </w:r>
          </w:p>
        </w:tc>
      </w:tr>
      <w:tr w:rsidR="003F643B" w:rsidRPr="008114CC" w14:paraId="2C9A8574" w14:textId="77777777" w:rsidTr="00404FD8">
        <w:tc>
          <w:tcPr>
            <w:tcW w:w="2016" w:type="dxa"/>
            <w:vAlign w:val="center"/>
          </w:tcPr>
          <w:p w14:paraId="2F2748B7" w14:textId="77777777" w:rsidR="003F643B" w:rsidRPr="00D3376D" w:rsidRDefault="003F643B" w:rsidP="00404FD8">
            <w:pPr>
              <w:pStyle w:val="BodyText"/>
            </w:pPr>
            <w:r w:rsidRPr="00D3376D">
              <w:t>DPIA</w:t>
            </w:r>
          </w:p>
        </w:tc>
        <w:tc>
          <w:tcPr>
            <w:tcW w:w="7056" w:type="dxa"/>
            <w:vAlign w:val="center"/>
          </w:tcPr>
          <w:p w14:paraId="111D5034" w14:textId="77777777" w:rsidR="003F643B" w:rsidRPr="00D3376D" w:rsidRDefault="003F643B" w:rsidP="00404FD8">
            <w:pPr>
              <w:pStyle w:val="BodyText"/>
            </w:pPr>
            <w:r w:rsidRPr="00D3376D">
              <w:t>Data Protection Impacted Assessment</w:t>
            </w:r>
          </w:p>
        </w:tc>
      </w:tr>
      <w:tr w:rsidR="003F643B" w:rsidRPr="008114CC" w14:paraId="2B6C2B4F" w14:textId="77777777" w:rsidTr="00404FD8">
        <w:tc>
          <w:tcPr>
            <w:tcW w:w="2016" w:type="dxa"/>
            <w:vAlign w:val="center"/>
          </w:tcPr>
          <w:p w14:paraId="3EFE6D36" w14:textId="77777777" w:rsidR="003F643B" w:rsidRPr="00D3376D" w:rsidRDefault="003F643B" w:rsidP="00404FD8">
            <w:pPr>
              <w:rPr>
                <w:rFonts w:cs="Arial"/>
              </w:rPr>
            </w:pPr>
            <w:r w:rsidRPr="00D3376D">
              <w:rPr>
                <w:rFonts w:cs="Arial"/>
              </w:rPr>
              <w:t>PIMS</w:t>
            </w:r>
          </w:p>
        </w:tc>
        <w:tc>
          <w:tcPr>
            <w:tcW w:w="7056" w:type="dxa"/>
            <w:vAlign w:val="center"/>
          </w:tcPr>
          <w:p w14:paraId="41B081B1" w14:textId="77777777" w:rsidR="003F643B" w:rsidRPr="00D3376D" w:rsidRDefault="003F643B" w:rsidP="00404FD8">
            <w:pPr>
              <w:rPr>
                <w:rFonts w:cs="Arial"/>
              </w:rPr>
            </w:pPr>
            <w:r w:rsidRPr="00D3376D">
              <w:rPr>
                <w:rFonts w:cs="Arial"/>
              </w:rPr>
              <w:t>Personal Information Management System</w:t>
            </w:r>
          </w:p>
        </w:tc>
      </w:tr>
      <w:tr w:rsidR="003F643B" w:rsidRPr="008114CC" w14:paraId="42C7FD1F" w14:textId="77777777" w:rsidTr="00404FD8">
        <w:tc>
          <w:tcPr>
            <w:tcW w:w="2016" w:type="dxa"/>
            <w:vAlign w:val="center"/>
          </w:tcPr>
          <w:p w14:paraId="6FC63E87" w14:textId="77777777" w:rsidR="003F643B" w:rsidRPr="00D3376D" w:rsidRDefault="003F643B" w:rsidP="00404FD8">
            <w:pPr>
              <w:rPr>
                <w:rFonts w:cs="Arial"/>
              </w:rPr>
            </w:pPr>
            <w:r w:rsidRPr="00D3376D">
              <w:rPr>
                <w:rFonts w:cs="Arial"/>
              </w:rPr>
              <w:t>EU</w:t>
            </w:r>
          </w:p>
        </w:tc>
        <w:tc>
          <w:tcPr>
            <w:tcW w:w="7056" w:type="dxa"/>
            <w:vAlign w:val="center"/>
          </w:tcPr>
          <w:p w14:paraId="2359B02A" w14:textId="77777777" w:rsidR="003F643B" w:rsidRPr="00D3376D" w:rsidRDefault="003F643B" w:rsidP="00404FD8">
            <w:pPr>
              <w:rPr>
                <w:rFonts w:cs="Arial"/>
              </w:rPr>
            </w:pPr>
            <w:r w:rsidRPr="00D3376D">
              <w:rPr>
                <w:rFonts w:cs="Arial"/>
              </w:rPr>
              <w:t>European Union</w:t>
            </w:r>
          </w:p>
        </w:tc>
      </w:tr>
    </w:tbl>
    <w:p w14:paraId="0D465B24" w14:textId="3E04EEC0" w:rsidR="003F643B" w:rsidRDefault="00C248CD" w:rsidP="003F643B">
      <w:pPr>
        <w:pStyle w:val="Heading2"/>
        <w:numPr>
          <w:ilvl w:val="0"/>
          <w:numId w:val="0"/>
        </w:numPr>
      </w:pPr>
      <w:bookmarkStart w:id="15" w:name="_Toc72487524"/>
      <w:bookmarkStart w:id="16" w:name="_Toc72569844"/>
      <w:bookmarkStart w:id="17" w:name="_Toc118460908"/>
      <w:r>
        <w:rPr>
          <w:sz w:val="20"/>
        </w:rPr>
        <w:lastRenderedPageBreak/>
        <w:t>4</w:t>
      </w:r>
      <w:r w:rsidR="003F643B">
        <w:rPr>
          <w:sz w:val="20"/>
        </w:rPr>
        <w:t>.2</w:t>
      </w:r>
      <w:r w:rsidR="003F643B">
        <w:rPr>
          <w:sz w:val="20"/>
        </w:rPr>
        <w:tab/>
      </w:r>
      <w:r w:rsidR="003F643B" w:rsidRPr="007524EA">
        <w:t>Related Documents</w:t>
      </w:r>
      <w:bookmarkEnd w:id="15"/>
      <w:bookmarkEnd w:id="16"/>
      <w:bookmarkEnd w:id="17"/>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91311D" w:rsidRPr="00A40AE6" w14:paraId="171AEB6F"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284C0B9F" w14:textId="77777777" w:rsidR="0091311D" w:rsidRPr="00A40AE6" w:rsidRDefault="0091311D"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0866942E" w14:textId="77777777" w:rsidR="0091311D" w:rsidRPr="00A40AE6" w:rsidRDefault="0091311D"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624F4BC7" w14:textId="77777777" w:rsidR="0091311D" w:rsidRPr="00A40AE6" w:rsidRDefault="0091311D" w:rsidP="009C66DA">
            <w:pPr>
              <w:ind w:left="432"/>
              <w:rPr>
                <w:rFonts w:cs="Arial"/>
                <w:b/>
              </w:rPr>
            </w:pPr>
            <w:r w:rsidRPr="00A40AE6">
              <w:rPr>
                <w:rFonts w:cs="Arial"/>
                <w:b/>
              </w:rPr>
              <w:t>Name of documents</w:t>
            </w:r>
          </w:p>
        </w:tc>
      </w:tr>
      <w:tr w:rsidR="0091311D" w14:paraId="11AF30C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EC6C881" w14:textId="77777777" w:rsidR="0091311D" w:rsidRDefault="0091311D"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2B06EC22" w14:textId="77777777" w:rsidR="0091311D" w:rsidRDefault="0091311D"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439DA426" w14:textId="77777777" w:rsidR="0091311D" w:rsidRDefault="0091311D" w:rsidP="009C66DA">
            <w:pPr>
              <w:rPr>
                <w:rFonts w:cs="Arial"/>
              </w:rPr>
            </w:pPr>
            <w:r>
              <w:rPr>
                <w:rFonts w:cs="Arial"/>
              </w:rPr>
              <w:t>EU General Data Protection Regulation</w:t>
            </w:r>
          </w:p>
        </w:tc>
      </w:tr>
      <w:tr w:rsidR="0091311D" w14:paraId="33092EF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8F01100" w14:textId="77777777" w:rsidR="0091311D" w:rsidRDefault="0091311D"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CC8EF62" w14:textId="77777777" w:rsidR="0091311D" w:rsidRDefault="0091311D"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43948042" w14:textId="77777777" w:rsidR="0091311D" w:rsidRDefault="0091311D" w:rsidP="009C66DA">
            <w:pPr>
              <w:rPr>
                <w:rFonts w:cs="Arial"/>
              </w:rPr>
            </w:pPr>
            <w:r>
              <w:rPr>
                <w:rFonts w:cs="Arial"/>
              </w:rPr>
              <w:t>EU Data Protection Directive 95/46/EC</w:t>
            </w:r>
          </w:p>
        </w:tc>
      </w:tr>
      <w:tr w:rsidR="0091311D" w14:paraId="1CF8614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25C2635" w14:textId="77777777" w:rsidR="0091311D" w:rsidRDefault="0091311D"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24327C9F" w14:textId="77777777" w:rsidR="0091311D" w:rsidRDefault="0091311D"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3FE3B089" w14:textId="77777777" w:rsidR="0091311D" w:rsidRDefault="0091311D"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91311D" w14:paraId="3ABA46E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FB86450" w14:textId="77777777" w:rsidR="0091311D" w:rsidRDefault="0091311D"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5FED3F81" w14:textId="77777777" w:rsidR="0091311D" w:rsidRDefault="0091311D"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BAA2E2D" w14:textId="77777777" w:rsidR="0091311D" w:rsidRDefault="0091311D" w:rsidP="009C66DA">
            <w:pPr>
              <w:rPr>
                <w:rFonts w:cs="Arial"/>
              </w:rPr>
            </w:pPr>
            <w:r>
              <w:rPr>
                <w:rFonts w:cs="Arial"/>
              </w:rPr>
              <w:t>Act on the Protection of Personal Information, Japan.</w:t>
            </w:r>
            <w:r>
              <w:rPr>
                <w:rFonts w:cs="Arial"/>
              </w:rPr>
              <w:br/>
              <w:t>It came into force on 30 May 2017.  </w:t>
            </w:r>
          </w:p>
        </w:tc>
      </w:tr>
      <w:tr w:rsidR="0091311D" w14:paraId="62F1D92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73F85A8" w14:textId="77777777" w:rsidR="0091311D" w:rsidRDefault="0091311D"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7AF7412A" w14:textId="77777777" w:rsidR="0091311D" w:rsidRDefault="0091311D"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7A8BDEDE" w14:textId="77777777" w:rsidR="0091311D" w:rsidRDefault="0091311D" w:rsidP="009C66DA">
            <w:pPr>
              <w:rPr>
                <w:rFonts w:cs="Arial"/>
              </w:rPr>
            </w:pPr>
            <w:r>
              <w:rPr>
                <w:rFonts w:cs="Arial"/>
              </w:rPr>
              <w:t>Personal Data Protection Act 2012, Singapore</w:t>
            </w:r>
          </w:p>
        </w:tc>
      </w:tr>
      <w:tr w:rsidR="0091311D" w14:paraId="5C9E459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3251D76" w14:textId="77777777" w:rsidR="0091311D" w:rsidRDefault="0091311D"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71E825B6" w14:textId="77777777" w:rsidR="0091311D" w:rsidRDefault="0091311D"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71FB9C0B" w14:textId="77777777" w:rsidR="0091311D" w:rsidRDefault="0091311D" w:rsidP="009C66DA">
            <w:pPr>
              <w:rPr>
                <w:rFonts w:cs="Arial"/>
              </w:rPr>
            </w:pPr>
            <w:r>
              <w:rPr>
                <w:rFonts w:cs="Arial"/>
              </w:rPr>
              <w:t>Personal Data (Privacy) Ordinance, Hongkong, 2012</w:t>
            </w:r>
          </w:p>
        </w:tc>
      </w:tr>
      <w:tr w:rsidR="0091311D" w14:paraId="4246E98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EE15600" w14:textId="77777777" w:rsidR="0091311D" w:rsidRDefault="0091311D"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65AD2027" w14:textId="77777777" w:rsidR="0091311D" w:rsidRDefault="0091311D"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3DB7766C" w14:textId="77777777" w:rsidR="0091311D" w:rsidRDefault="0091311D" w:rsidP="009C66DA">
            <w:pPr>
              <w:rPr>
                <w:rFonts w:cs="Arial"/>
              </w:rPr>
            </w:pPr>
            <w:r>
              <w:rPr>
                <w:rFonts w:cs="Arial"/>
              </w:rPr>
              <w:t>South Korea’s substantial Personal Information Protection Act (PIPA) was enacted on Sept. 30, 2011</w:t>
            </w:r>
          </w:p>
        </w:tc>
      </w:tr>
      <w:tr w:rsidR="0091311D" w14:paraId="51CB5D6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57A714F" w14:textId="77777777" w:rsidR="0091311D" w:rsidRDefault="0091311D"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3559A82F" w14:textId="77777777" w:rsidR="0091311D" w:rsidRDefault="0091311D"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4B95EDAA" w14:textId="77777777" w:rsidR="0091311D" w:rsidRDefault="0091311D" w:rsidP="009C66DA">
            <w:pPr>
              <w:rPr>
                <w:rFonts w:cs="Arial"/>
              </w:rPr>
            </w:pPr>
            <w:r>
              <w:rPr>
                <w:rFonts w:cs="Arial"/>
              </w:rPr>
              <w:t>Personal Information Protection and Electronic Documents Act, Canada 2018</w:t>
            </w:r>
          </w:p>
        </w:tc>
      </w:tr>
      <w:tr w:rsidR="0091311D" w14:paraId="362ED5B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1CA7583" w14:textId="77777777" w:rsidR="0091311D" w:rsidRDefault="0091311D"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4F0ACE33" w14:textId="77777777" w:rsidR="0091311D" w:rsidRDefault="0091311D"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6C95496D" w14:textId="77777777" w:rsidR="0091311D" w:rsidRDefault="0091311D"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91311D" w14:paraId="6F50863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DC94504" w14:textId="77777777" w:rsidR="0091311D" w:rsidRDefault="0091311D"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6D697022" w14:textId="77777777" w:rsidR="0091311D" w:rsidRDefault="0091311D"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00FFC5B6" w14:textId="77777777" w:rsidR="0091311D" w:rsidRDefault="0091311D" w:rsidP="009C66DA">
            <w:pPr>
              <w:rPr>
                <w:rFonts w:cs="Arial"/>
              </w:rPr>
            </w:pPr>
            <w:r>
              <w:rPr>
                <w:rFonts w:cs="Arial"/>
                <w:color w:val="000000"/>
                <w:shd w:val="clear" w:color="auto" w:fill="FFFFFF"/>
              </w:rPr>
              <w:t>Health Information Trust Alliance (CSF, Common Security Framework</w:t>
            </w:r>
            <w:r>
              <w:rPr>
                <w:rFonts w:cs="Arial"/>
              </w:rPr>
              <w:t>)</w:t>
            </w:r>
          </w:p>
        </w:tc>
      </w:tr>
      <w:tr w:rsidR="0091311D" w14:paraId="1DC6646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F3B0264" w14:textId="77777777" w:rsidR="0091311D" w:rsidRDefault="0091311D"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15D7A41A" w14:textId="77777777" w:rsidR="0091311D" w:rsidRDefault="0091311D"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0CBF30F8" w14:textId="77777777" w:rsidR="0091311D" w:rsidRDefault="0091311D" w:rsidP="009C66DA">
            <w:r>
              <w:t>Health Insurance Portability and Accountability Act of 1996 (HIPAA), US</w:t>
            </w:r>
          </w:p>
        </w:tc>
      </w:tr>
      <w:tr w:rsidR="0091311D" w14:paraId="494FF87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F076444" w14:textId="77777777" w:rsidR="0091311D" w:rsidRDefault="0091311D"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399E6729" w14:textId="77777777" w:rsidR="0091311D" w:rsidRDefault="0091311D"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0CE85D4D" w14:textId="77777777" w:rsidR="0091311D" w:rsidRDefault="0091311D" w:rsidP="009C66DA">
            <w:pPr>
              <w:rPr>
                <w:rFonts w:cs="Arial"/>
              </w:rPr>
            </w:pPr>
            <w:r>
              <w:rPr>
                <w:rFonts w:cs="Arial"/>
              </w:rPr>
              <w:t>Payment Card Industry Data Security Standard, May 2018</w:t>
            </w:r>
          </w:p>
        </w:tc>
      </w:tr>
      <w:tr w:rsidR="0091311D" w14:paraId="25A485A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BFAB3A3" w14:textId="77777777" w:rsidR="0091311D" w:rsidRDefault="0091311D"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7BCA2A9C" w14:textId="77777777" w:rsidR="0091311D" w:rsidRDefault="0091311D"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15D19DEF" w14:textId="77777777" w:rsidR="0091311D" w:rsidRDefault="0091311D"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91311D" w:rsidRPr="00DF2F10" w14:paraId="748FD5EC" w14:textId="77777777" w:rsidTr="009C66DA">
        <w:tblPrEx>
          <w:tblLook w:val="0000" w:firstRow="0" w:lastRow="0" w:firstColumn="0" w:lastColumn="0" w:noHBand="0" w:noVBand="0"/>
        </w:tblPrEx>
        <w:tc>
          <w:tcPr>
            <w:tcW w:w="1163" w:type="dxa"/>
          </w:tcPr>
          <w:p w14:paraId="33A861D6" w14:textId="77777777" w:rsidR="0091311D" w:rsidRPr="00DF2F10" w:rsidRDefault="0091311D" w:rsidP="009C66DA">
            <w:pPr>
              <w:jc w:val="center"/>
              <w:rPr>
                <w:rFonts w:cs="Arial"/>
              </w:rPr>
            </w:pPr>
            <w:r w:rsidRPr="00DF2F10">
              <w:rPr>
                <w:rFonts w:cs="Arial"/>
              </w:rPr>
              <w:t>1</w:t>
            </w:r>
            <w:r>
              <w:rPr>
                <w:rFonts w:cs="Arial"/>
              </w:rPr>
              <w:t>4</w:t>
            </w:r>
          </w:p>
        </w:tc>
        <w:tc>
          <w:tcPr>
            <w:tcW w:w="2268" w:type="dxa"/>
          </w:tcPr>
          <w:p w14:paraId="5DBE267B" w14:textId="77777777" w:rsidR="0091311D" w:rsidRPr="00DF2F10" w:rsidRDefault="0091311D" w:rsidP="009C66DA">
            <w:pPr>
              <w:rPr>
                <w:rFonts w:cs="Arial"/>
              </w:rPr>
            </w:pPr>
            <w:r w:rsidRPr="00DF2F10">
              <w:rPr>
                <w:rFonts w:cs="Arial"/>
              </w:rPr>
              <w:t>PDPL, UAR </w:t>
            </w:r>
          </w:p>
        </w:tc>
        <w:tc>
          <w:tcPr>
            <w:tcW w:w="5954" w:type="dxa"/>
          </w:tcPr>
          <w:p w14:paraId="62D7316C" w14:textId="77777777" w:rsidR="0091311D" w:rsidRPr="00DF2F10" w:rsidRDefault="0091311D" w:rsidP="009C66DA">
            <w:pPr>
              <w:rPr>
                <w:rFonts w:cs="Arial"/>
              </w:rPr>
            </w:pPr>
            <w:r w:rsidRPr="00DF2F10">
              <w:rPr>
                <w:rFonts w:cs="Arial"/>
              </w:rPr>
              <w:t>Decree-Law No. 45 of 2021</w:t>
            </w:r>
          </w:p>
        </w:tc>
      </w:tr>
      <w:tr w:rsidR="0091311D" w:rsidRPr="00DF2F10" w14:paraId="2F820A79" w14:textId="77777777" w:rsidTr="009C66DA">
        <w:tblPrEx>
          <w:tblLook w:val="0000" w:firstRow="0" w:lastRow="0" w:firstColumn="0" w:lastColumn="0" w:noHBand="0" w:noVBand="0"/>
        </w:tblPrEx>
        <w:tc>
          <w:tcPr>
            <w:tcW w:w="1163" w:type="dxa"/>
          </w:tcPr>
          <w:p w14:paraId="4D0EA8D5" w14:textId="77777777" w:rsidR="0091311D" w:rsidRPr="00DF2F10" w:rsidRDefault="0091311D" w:rsidP="009C66DA">
            <w:pPr>
              <w:jc w:val="center"/>
              <w:rPr>
                <w:rFonts w:cs="Arial"/>
              </w:rPr>
            </w:pPr>
            <w:r>
              <w:rPr>
                <w:rFonts w:cs="Arial"/>
              </w:rPr>
              <w:t>15</w:t>
            </w:r>
          </w:p>
        </w:tc>
        <w:tc>
          <w:tcPr>
            <w:tcW w:w="2268" w:type="dxa"/>
          </w:tcPr>
          <w:p w14:paraId="466FD503" w14:textId="77777777" w:rsidR="0091311D" w:rsidRPr="00167C48" w:rsidRDefault="0091311D" w:rsidP="009C66DA">
            <w:pPr>
              <w:rPr>
                <w:rFonts w:cs="Arial"/>
              </w:rPr>
            </w:pPr>
            <w:r>
              <w:rPr>
                <w:rFonts w:cs="Arial"/>
              </w:rPr>
              <w:t>DPA Philippines</w:t>
            </w:r>
          </w:p>
        </w:tc>
        <w:tc>
          <w:tcPr>
            <w:tcW w:w="5954" w:type="dxa"/>
          </w:tcPr>
          <w:p w14:paraId="4B4BA191" w14:textId="77777777" w:rsidR="0091311D" w:rsidRPr="00DF2F10" w:rsidRDefault="0091311D"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91311D" w:rsidRPr="00EB4879" w14:paraId="2201A2C8"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AD892C9" w14:textId="77777777" w:rsidR="0091311D" w:rsidRPr="00D3376D" w:rsidRDefault="0091311D"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5183DFCB" w14:textId="77777777" w:rsidR="0091311D" w:rsidRPr="00D3376D" w:rsidRDefault="0091311D"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4B2D401E" w14:textId="77777777" w:rsidR="0091311D" w:rsidRPr="00EB4879" w:rsidRDefault="0091311D"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91311D" w:rsidRPr="00381625" w14:paraId="2E66C772"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33CE8B01" w14:textId="77777777" w:rsidR="0091311D" w:rsidRDefault="0091311D"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15B76F9F" w14:textId="77777777" w:rsidR="0091311D" w:rsidRPr="00381625" w:rsidRDefault="0091311D"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3941DA77" w14:textId="77777777" w:rsidR="0091311D" w:rsidRPr="00381625" w:rsidRDefault="0091311D" w:rsidP="009C66DA">
            <w:pPr>
              <w:rPr>
                <w:rFonts w:cs="Arial"/>
              </w:rPr>
            </w:pPr>
            <w:r>
              <w:rPr>
                <w:rFonts w:cs="Arial"/>
              </w:rPr>
              <w:t>Personal Data Protection Act 2010, Malaysia</w:t>
            </w:r>
          </w:p>
        </w:tc>
      </w:tr>
      <w:tr w:rsidR="0091311D" w14:paraId="67409432" w14:textId="77777777" w:rsidTr="009C66DA">
        <w:tc>
          <w:tcPr>
            <w:tcW w:w="1163" w:type="dxa"/>
            <w:tcBorders>
              <w:top w:val="dotted" w:sz="4" w:space="0" w:color="auto"/>
              <w:left w:val="dotted" w:sz="4" w:space="0" w:color="auto"/>
              <w:bottom w:val="dotted" w:sz="4" w:space="0" w:color="auto"/>
              <w:right w:val="dotted" w:sz="4" w:space="0" w:color="auto"/>
            </w:tcBorders>
          </w:tcPr>
          <w:p w14:paraId="37FE2D71" w14:textId="77777777" w:rsidR="0091311D" w:rsidRDefault="0091311D"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2D221767" w14:textId="77777777" w:rsidR="0091311D" w:rsidRDefault="0091311D"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0FE88B9C" w14:textId="77777777" w:rsidR="0091311D" w:rsidRDefault="0091311D" w:rsidP="009C66DA">
            <w:pPr>
              <w:rPr>
                <w:rFonts w:cs="Arial"/>
              </w:rPr>
            </w:pPr>
            <w:r w:rsidRPr="003A3362">
              <w:rPr>
                <w:rFonts w:cs="Arial"/>
              </w:rPr>
              <w:t>Trusted information security assessment exchange</w:t>
            </w:r>
          </w:p>
        </w:tc>
      </w:tr>
      <w:tr w:rsidR="0091311D" w14:paraId="4BCC81E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38228AB" w14:textId="77777777" w:rsidR="0091311D" w:rsidRDefault="0091311D"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235EEE2E" w14:textId="77777777" w:rsidR="0091311D" w:rsidRDefault="0091311D"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BE42E2F" w14:textId="77777777" w:rsidR="0091311D" w:rsidRDefault="0091311D" w:rsidP="009C66DA">
            <w:pPr>
              <w:rPr>
                <w:rFonts w:cs="Arial"/>
              </w:rPr>
            </w:pPr>
            <w:r>
              <w:rPr>
                <w:rFonts w:cs="Arial"/>
              </w:rPr>
              <w:t>British Standard Personal Information Management System </w:t>
            </w:r>
          </w:p>
        </w:tc>
      </w:tr>
      <w:tr w:rsidR="0091311D" w14:paraId="42719C6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F9FBFDF" w14:textId="77777777" w:rsidR="0091311D" w:rsidRDefault="0091311D"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2E90C91F" w14:textId="77777777" w:rsidR="0091311D" w:rsidRDefault="0091311D"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03806E87" w14:textId="77777777" w:rsidR="0091311D" w:rsidRDefault="0091311D" w:rsidP="009C66DA">
            <w:pPr>
              <w:rPr>
                <w:rFonts w:cs="Arial"/>
                <w:color w:val="000000"/>
              </w:rPr>
            </w:pPr>
            <w:r>
              <w:rPr>
                <w:rFonts w:cs="Arial"/>
                <w:color w:val="000000"/>
              </w:rPr>
              <w:t>Vietnamese laws on Privacy:</w:t>
            </w:r>
          </w:p>
          <w:p w14:paraId="711CD05C" w14:textId="77777777" w:rsidR="0091311D" w:rsidRDefault="0091311D" w:rsidP="009C66DA">
            <w:pPr>
              <w:rPr>
                <w:rFonts w:cs="Arial"/>
                <w:color w:val="000000"/>
              </w:rPr>
            </w:pPr>
            <w:r>
              <w:rPr>
                <w:rFonts w:cs="Arial"/>
                <w:color w:val="000000"/>
              </w:rPr>
              <w:t>- Article 21 of the 2013 Constitution</w:t>
            </w:r>
          </w:p>
          <w:p w14:paraId="797256C6" w14:textId="77777777" w:rsidR="0091311D" w:rsidRDefault="0091311D" w:rsidP="009C66DA">
            <w:pPr>
              <w:rPr>
                <w:rFonts w:cs="Arial"/>
                <w:color w:val="000000"/>
              </w:rPr>
            </w:pPr>
            <w:r>
              <w:rPr>
                <w:rFonts w:cs="Arial"/>
                <w:color w:val="000000"/>
              </w:rPr>
              <w:t>- Article 38 of the Civil Code 2015</w:t>
            </w:r>
          </w:p>
          <w:p w14:paraId="3277E5CA" w14:textId="77777777" w:rsidR="0091311D" w:rsidRDefault="0091311D" w:rsidP="009C66DA">
            <w:pPr>
              <w:rPr>
                <w:rFonts w:cs="Arial"/>
                <w:color w:val="000000"/>
              </w:rPr>
            </w:pPr>
            <w:r>
              <w:rPr>
                <w:rFonts w:cs="Arial"/>
                <w:color w:val="000000"/>
              </w:rPr>
              <w:t>- Article 125 of the Penal Code</w:t>
            </w:r>
          </w:p>
          <w:p w14:paraId="3CB7339A" w14:textId="77777777" w:rsidR="0091311D" w:rsidRDefault="0091311D" w:rsidP="009C66DA">
            <w:pPr>
              <w:rPr>
                <w:rFonts w:cs="Arial"/>
                <w:color w:val="000000"/>
              </w:rPr>
            </w:pPr>
            <w:r>
              <w:rPr>
                <w:rFonts w:cs="Arial"/>
                <w:color w:val="000000"/>
              </w:rPr>
              <w:t>- Clause 2 of Article 19 of the Labor Code</w:t>
            </w:r>
          </w:p>
          <w:p w14:paraId="5B435DC8" w14:textId="77777777" w:rsidR="0091311D" w:rsidRDefault="0091311D"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91311D" w14:paraId="7B8E72C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B89A742" w14:textId="77777777" w:rsidR="0091311D" w:rsidRDefault="0091311D"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0AE25D48" w14:textId="77777777" w:rsidR="0091311D" w:rsidRDefault="0091311D"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29213F84" w14:textId="77777777" w:rsidR="0091311D" w:rsidRDefault="0091311D" w:rsidP="009C66DA">
            <w:pPr>
              <w:rPr>
                <w:rFonts w:cs="Arial"/>
                <w:color w:val="000000"/>
              </w:rPr>
            </w:pPr>
            <w:r>
              <w:rPr>
                <w:rFonts w:cs="Arial"/>
                <w:color w:val="000000"/>
              </w:rPr>
              <w:t>PDP_ Handbook_Version_V3.3</w:t>
            </w:r>
          </w:p>
        </w:tc>
      </w:tr>
    </w:tbl>
    <w:p w14:paraId="5F23357D" w14:textId="77777777" w:rsidR="003F643B" w:rsidRPr="00BB679B" w:rsidRDefault="003F643B" w:rsidP="003F643B">
      <w:pPr>
        <w:pStyle w:val="BodyText"/>
      </w:pPr>
    </w:p>
    <w:p w14:paraId="319441B1" w14:textId="77777777" w:rsidR="0091311D" w:rsidRDefault="0091311D">
      <w:pPr>
        <w:spacing w:before="0" w:line="240" w:lineRule="auto"/>
        <w:rPr>
          <w:b/>
          <w:i/>
          <w:spacing w:val="-10"/>
          <w:kern w:val="28"/>
          <w:sz w:val="22"/>
        </w:rPr>
      </w:pPr>
      <w:bookmarkStart w:id="18" w:name="_Toc116390343"/>
      <w:bookmarkStart w:id="19" w:name="_Toc117496759"/>
      <w:bookmarkStart w:id="20" w:name="_Toc117583932"/>
      <w:bookmarkStart w:id="21" w:name="_Toc117593905"/>
      <w:r>
        <w:br w:type="page"/>
      </w:r>
    </w:p>
    <w:p w14:paraId="7E29D862" w14:textId="742459C1" w:rsidR="0091311D" w:rsidRDefault="0091311D" w:rsidP="0091311D">
      <w:pPr>
        <w:pStyle w:val="Heading2"/>
        <w:numPr>
          <w:ilvl w:val="0"/>
          <w:numId w:val="0"/>
        </w:numPr>
        <w:ind w:left="576" w:hanging="576"/>
      </w:pPr>
      <w:bookmarkStart w:id="22" w:name="_Toc118460909"/>
      <w:r>
        <w:lastRenderedPageBreak/>
        <w:t>4.3</w:t>
      </w:r>
      <w:r>
        <w:tab/>
        <w:t>Data Protection Law, Vietnam, Overview</w:t>
      </w:r>
      <w:bookmarkEnd w:id="18"/>
      <w:bookmarkEnd w:id="19"/>
      <w:bookmarkEnd w:id="20"/>
      <w:bookmarkEnd w:id="21"/>
      <w:bookmarkEnd w:id="22"/>
    </w:p>
    <w:p w14:paraId="265F1526" w14:textId="77777777" w:rsidR="0091311D" w:rsidRPr="00784236" w:rsidRDefault="0091311D" w:rsidP="0091311D">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28BB1BDD" w14:textId="48EACC87" w:rsidR="0091311D" w:rsidRPr="00784236" w:rsidRDefault="0091311D" w:rsidP="0091311D">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2D28A495" w14:textId="77777777" w:rsidR="0091311D" w:rsidRPr="00784236" w:rsidRDefault="0091311D" w:rsidP="0091311D">
      <w:pPr>
        <w:pStyle w:val="BodyText"/>
        <w:numPr>
          <w:ilvl w:val="0"/>
          <w:numId w:val="6"/>
        </w:numPr>
        <w:spacing w:after="0"/>
        <w:jc w:val="both"/>
      </w:pPr>
      <w:r w:rsidRPr="00784236">
        <w:rPr>
          <w:rFonts w:hint="cs"/>
          <w:b/>
          <w:bCs/>
        </w:rPr>
        <w:t>Criminal Code</w:t>
      </w:r>
      <w:r w:rsidRPr="00784236">
        <w:rPr>
          <w:rFonts w:hint="cs"/>
        </w:rPr>
        <w:t xml:space="preserve"> No. 100/2015/QH13, passed by the National Assembly on 27 November 2015</w:t>
      </w:r>
    </w:p>
    <w:p w14:paraId="0B3EC3EB" w14:textId="77777777" w:rsidR="0091311D" w:rsidRPr="00784236" w:rsidRDefault="0091311D" w:rsidP="0091311D">
      <w:pPr>
        <w:pStyle w:val="BodyText"/>
        <w:numPr>
          <w:ilvl w:val="0"/>
          <w:numId w:val="6"/>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1EED568" w14:textId="77777777" w:rsidR="0091311D" w:rsidRPr="00784236" w:rsidRDefault="0091311D" w:rsidP="0091311D">
      <w:pPr>
        <w:pStyle w:val="BodyText"/>
        <w:numPr>
          <w:ilvl w:val="0"/>
          <w:numId w:val="6"/>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427DB1C0" w14:textId="77777777" w:rsidR="0091311D" w:rsidRPr="00784236" w:rsidRDefault="0091311D" w:rsidP="0091311D">
      <w:pPr>
        <w:pStyle w:val="BodyText"/>
        <w:numPr>
          <w:ilvl w:val="0"/>
          <w:numId w:val="6"/>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6B18EAB7" w14:textId="77777777" w:rsidR="0091311D" w:rsidRPr="00784236" w:rsidRDefault="0091311D" w:rsidP="0091311D">
      <w:pPr>
        <w:pStyle w:val="BodyText"/>
        <w:numPr>
          <w:ilvl w:val="0"/>
          <w:numId w:val="6"/>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35F168C4" w14:textId="77777777" w:rsidR="0091311D" w:rsidRPr="00784236" w:rsidRDefault="0091311D" w:rsidP="0091311D">
      <w:pPr>
        <w:pStyle w:val="BodyText"/>
        <w:numPr>
          <w:ilvl w:val="0"/>
          <w:numId w:val="6"/>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094CEB77" w14:textId="77777777" w:rsidR="0091311D" w:rsidRPr="00784236" w:rsidRDefault="0091311D" w:rsidP="0091311D">
      <w:pPr>
        <w:pStyle w:val="BodyText"/>
        <w:numPr>
          <w:ilvl w:val="0"/>
          <w:numId w:val="6"/>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66F1F9E9" w14:textId="2AA890B7" w:rsidR="0091311D" w:rsidRPr="00784236" w:rsidRDefault="0091311D" w:rsidP="0091311D">
      <w:pPr>
        <w:pStyle w:val="BodyText"/>
        <w:numPr>
          <w:ilvl w:val="0"/>
          <w:numId w:val="6"/>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6C0D5CFF" w14:textId="77777777" w:rsidR="0091311D" w:rsidRPr="00784236" w:rsidRDefault="0091311D" w:rsidP="0091311D">
      <w:pPr>
        <w:pStyle w:val="BodyText"/>
        <w:numPr>
          <w:ilvl w:val="0"/>
          <w:numId w:val="6"/>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57B59E6B" w14:textId="77777777" w:rsidR="0091311D" w:rsidRPr="00784236" w:rsidRDefault="0091311D" w:rsidP="0091311D">
      <w:pPr>
        <w:pStyle w:val="BodyText"/>
        <w:numPr>
          <w:ilvl w:val="0"/>
          <w:numId w:val="6"/>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6D8B4B68" w14:textId="77777777" w:rsidR="0091311D" w:rsidRPr="00784236" w:rsidRDefault="0091311D" w:rsidP="0091311D">
      <w:pPr>
        <w:pStyle w:val="BodyText"/>
        <w:numPr>
          <w:ilvl w:val="0"/>
          <w:numId w:val="6"/>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13D8BB23" w14:textId="77777777" w:rsidR="0091311D" w:rsidRPr="00784236" w:rsidRDefault="0091311D" w:rsidP="0091311D">
      <w:pPr>
        <w:pStyle w:val="BodyText"/>
        <w:numPr>
          <w:ilvl w:val="0"/>
          <w:numId w:val="6"/>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C8FE5FC" w14:textId="77777777" w:rsidR="0091311D" w:rsidRPr="00784236" w:rsidRDefault="0091311D" w:rsidP="0091311D">
      <w:pPr>
        <w:pStyle w:val="BodyText"/>
        <w:numPr>
          <w:ilvl w:val="0"/>
          <w:numId w:val="6"/>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3776DE32" w14:textId="77777777" w:rsidR="0091311D" w:rsidRPr="00784236" w:rsidRDefault="0091311D" w:rsidP="0091311D">
      <w:pPr>
        <w:pStyle w:val="BodyText"/>
        <w:numPr>
          <w:ilvl w:val="0"/>
          <w:numId w:val="6"/>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6637027F" w14:textId="77777777" w:rsidR="0091311D" w:rsidRPr="00784236" w:rsidRDefault="0091311D" w:rsidP="0091311D">
      <w:pPr>
        <w:pStyle w:val="BodyText"/>
        <w:numPr>
          <w:ilvl w:val="0"/>
          <w:numId w:val="6"/>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6767B646" w14:textId="77777777" w:rsidR="0091311D" w:rsidRPr="00784236" w:rsidRDefault="0091311D" w:rsidP="0091311D">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10C88A1A" w14:textId="77777777" w:rsidR="0091311D" w:rsidRPr="00784236" w:rsidRDefault="0091311D" w:rsidP="0091311D">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7866C5C8" w14:textId="77777777" w:rsidR="0091311D" w:rsidRPr="00784236" w:rsidRDefault="0091311D" w:rsidP="0091311D">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19BE8EA8" w14:textId="77777777" w:rsidR="0091311D" w:rsidRPr="00784236" w:rsidRDefault="0091311D" w:rsidP="0091311D">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E738664" w14:textId="77777777" w:rsidR="0091311D" w:rsidRPr="00784236" w:rsidRDefault="0091311D" w:rsidP="0091311D">
      <w:pPr>
        <w:pStyle w:val="BodyText"/>
      </w:pPr>
    </w:p>
    <w:p w14:paraId="0BDDD9A9" w14:textId="1AEF914D" w:rsidR="00A90DFF" w:rsidRPr="00375904" w:rsidRDefault="00A90DFF" w:rsidP="00A90DFF">
      <w:pPr>
        <w:pStyle w:val="BodyText"/>
        <w:rPr>
          <w:rFonts w:cs="Arial"/>
        </w:rPr>
      </w:pPr>
    </w:p>
    <w:p w14:paraId="49386FF4" w14:textId="77777777" w:rsidR="000750CF" w:rsidRPr="000750CF" w:rsidRDefault="000750CF" w:rsidP="000750CF">
      <w:pPr>
        <w:pStyle w:val="BodyText"/>
      </w:pPr>
    </w:p>
    <w:p w14:paraId="038C0E46" w14:textId="77777777" w:rsidR="000750CF" w:rsidRPr="002C0ED4" w:rsidRDefault="000750CF" w:rsidP="00892FBC">
      <w:pPr>
        <w:rPr>
          <w:rFonts w:cs="Arial"/>
          <w:lang w:eastAsia="zh-TW"/>
        </w:rPr>
      </w:pPr>
      <w:bookmarkStart w:id="23" w:name="_GoBack"/>
      <w:bookmarkEnd w:id="23"/>
    </w:p>
    <w:sectPr w:rsidR="000750CF" w:rsidRPr="002C0ED4" w:rsidSect="0053345F">
      <w:headerReference w:type="default" r:id="rId9"/>
      <w:footerReference w:type="default" r:id="rId10"/>
      <w:headerReference w:type="first" r:id="rId11"/>
      <w:pgSz w:w="11909" w:h="16834" w:code="9"/>
      <w:pgMar w:top="1411" w:right="1440" w:bottom="993"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5150" w14:textId="77777777" w:rsidR="004E5321" w:rsidRDefault="004E5321" w:rsidP="00892FBC">
      <w:r>
        <w:separator/>
      </w:r>
    </w:p>
  </w:endnote>
  <w:endnote w:type="continuationSeparator" w:id="0">
    <w:p w14:paraId="716A3BAB" w14:textId="77777777" w:rsidR="004E5321" w:rsidRDefault="004E5321"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5ACF4D5E" w:rsidR="0066353E" w:rsidRPr="0053345F" w:rsidRDefault="0053345F" w:rsidP="002C0ED4">
    <w:pPr>
      <w:pStyle w:val="Footer"/>
      <w:pBdr>
        <w:top w:val="single" w:sz="4" w:space="1" w:color="auto"/>
      </w:pBdr>
      <w:rPr>
        <w:noProof/>
        <w:color w:val="808080" w:themeColor="background1" w:themeShade="80"/>
        <w:sz w:val="18"/>
      </w:rPr>
    </w:pPr>
    <w:r w:rsidRPr="0053345F">
      <w:rPr>
        <w:noProof/>
        <w:sz w:val="18"/>
      </w:rPr>
      <w:t> </w:t>
    </w:r>
    <w:r w:rsidR="0066353E" w:rsidRPr="0053345F">
      <w:rPr>
        <w:noProof/>
        <w:color w:val="808080" w:themeColor="background1" w:themeShade="80"/>
        <w:sz w:val="18"/>
      </w:rPr>
      <w:tab/>
      <w:t>Internal use</w:t>
    </w:r>
    <w:r w:rsidR="0066353E" w:rsidRPr="0053345F">
      <w:rPr>
        <w:noProof/>
        <w:color w:val="808080" w:themeColor="background1" w:themeShade="80"/>
        <w:sz w:val="18"/>
      </w:rPr>
      <w:tab/>
    </w:r>
    <w:r w:rsidR="0066353E" w:rsidRPr="0053345F">
      <w:rPr>
        <w:noProof/>
        <w:color w:val="808080" w:themeColor="background1" w:themeShade="80"/>
        <w:sz w:val="18"/>
      </w:rPr>
      <w:fldChar w:fldCharType="begin"/>
    </w:r>
    <w:r w:rsidR="0066353E" w:rsidRPr="0053345F">
      <w:rPr>
        <w:noProof/>
        <w:color w:val="808080" w:themeColor="background1" w:themeShade="80"/>
        <w:sz w:val="18"/>
      </w:rPr>
      <w:instrText xml:space="preserve"> PAGE </w:instrText>
    </w:r>
    <w:r w:rsidR="0066353E" w:rsidRPr="0053345F">
      <w:rPr>
        <w:noProof/>
        <w:color w:val="808080" w:themeColor="background1" w:themeShade="80"/>
        <w:sz w:val="18"/>
      </w:rPr>
      <w:fldChar w:fldCharType="separate"/>
    </w:r>
    <w:r w:rsidR="001115CD">
      <w:rPr>
        <w:noProof/>
        <w:color w:val="808080" w:themeColor="background1" w:themeShade="80"/>
        <w:sz w:val="18"/>
      </w:rPr>
      <w:t>14</w:t>
    </w:r>
    <w:r w:rsidR="0066353E" w:rsidRPr="0053345F">
      <w:rPr>
        <w:noProof/>
        <w:color w:val="808080" w:themeColor="background1" w:themeShade="80"/>
        <w:sz w:val="18"/>
      </w:rPr>
      <w:fldChar w:fldCharType="end"/>
    </w:r>
    <w:r w:rsidR="0066353E" w:rsidRPr="0053345F">
      <w:rPr>
        <w:noProof/>
        <w:color w:val="808080" w:themeColor="background1" w:themeShade="80"/>
        <w:sz w:val="18"/>
      </w:rPr>
      <w:t>/</w:t>
    </w:r>
    <w:r w:rsidR="0066353E" w:rsidRPr="0053345F">
      <w:rPr>
        <w:noProof/>
        <w:color w:val="808080" w:themeColor="background1" w:themeShade="80"/>
        <w:sz w:val="18"/>
      </w:rPr>
      <w:fldChar w:fldCharType="begin"/>
    </w:r>
    <w:r w:rsidR="0066353E" w:rsidRPr="0053345F">
      <w:rPr>
        <w:noProof/>
        <w:color w:val="808080" w:themeColor="background1" w:themeShade="80"/>
        <w:sz w:val="18"/>
      </w:rPr>
      <w:instrText xml:space="preserve"> NUMPAGES </w:instrText>
    </w:r>
    <w:r w:rsidR="0066353E" w:rsidRPr="0053345F">
      <w:rPr>
        <w:noProof/>
        <w:color w:val="808080" w:themeColor="background1" w:themeShade="80"/>
        <w:sz w:val="18"/>
      </w:rPr>
      <w:fldChar w:fldCharType="separate"/>
    </w:r>
    <w:r w:rsidR="001115CD">
      <w:rPr>
        <w:noProof/>
        <w:color w:val="808080" w:themeColor="background1" w:themeShade="80"/>
        <w:sz w:val="18"/>
      </w:rPr>
      <w:t>14</w:t>
    </w:r>
    <w:r w:rsidR="0066353E" w:rsidRPr="0053345F">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518A" w14:textId="77777777" w:rsidR="004E5321" w:rsidRDefault="004E5321" w:rsidP="00892FBC">
      <w:r>
        <w:separator/>
      </w:r>
    </w:p>
  </w:footnote>
  <w:footnote w:type="continuationSeparator" w:id="0">
    <w:p w14:paraId="30F3AD3E" w14:textId="77777777" w:rsidR="004E5321" w:rsidRDefault="004E5321"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719EA29B" w:rsidR="0066353E" w:rsidRPr="0053345F" w:rsidRDefault="00C51EC4" w:rsidP="002C0ED4">
    <w:pPr>
      <w:pStyle w:val="Header"/>
      <w:pBdr>
        <w:bottom w:val="single" w:sz="4" w:space="1" w:color="auto"/>
      </w:pBdr>
      <w:tabs>
        <w:tab w:val="clear" w:pos="4320"/>
      </w:tabs>
      <w:rPr>
        <w:rFonts w:cs="Tahoma"/>
        <w:color w:val="808080"/>
        <w:sz w:val="18"/>
        <w:szCs w:val="18"/>
      </w:rPr>
    </w:pPr>
    <w:proofErr w:type="spellStart"/>
    <w:r w:rsidRPr="0053345F">
      <w:rPr>
        <w:rFonts w:cs="Tahoma"/>
        <w:color w:val="808080"/>
        <w:sz w:val="18"/>
        <w:szCs w:val="18"/>
      </w:rPr>
      <w:t>Procedure</w:t>
    </w:r>
    <w:r w:rsidR="0053345F" w:rsidRPr="0053345F">
      <w:rPr>
        <w:rFonts w:cs="Tahoma"/>
        <w:color w:val="808080"/>
        <w:sz w:val="18"/>
        <w:szCs w:val="18"/>
      </w:rPr>
      <w:t>_</w:t>
    </w:r>
    <w:r w:rsidR="00A94905">
      <w:rPr>
        <w:rFonts w:cs="Tahoma"/>
        <w:color w:val="808080"/>
        <w:sz w:val="18"/>
        <w:szCs w:val="18"/>
      </w:rPr>
      <w:t>Continual</w:t>
    </w:r>
    <w:proofErr w:type="spellEnd"/>
    <w:r w:rsidR="00A94905">
      <w:rPr>
        <w:rFonts w:cs="Tahoma"/>
        <w:color w:val="808080"/>
        <w:sz w:val="18"/>
        <w:szCs w:val="18"/>
      </w:rPr>
      <w:t xml:space="preserve"> Improvement</w:t>
    </w:r>
    <w:r w:rsidR="0066353E" w:rsidRPr="0053345F">
      <w:rPr>
        <w:rFonts w:cs="Tahoma"/>
        <w:color w:val="808080"/>
        <w:sz w:val="18"/>
        <w:szCs w:val="18"/>
      </w:rPr>
      <w:tab/>
      <w:t xml:space="preserve"> </w:t>
    </w:r>
    <w:r w:rsidR="0053345F" w:rsidRPr="0053345F">
      <w:rPr>
        <w:rFonts w:cs="Tahoma"/>
        <w:color w:val="808080"/>
        <w:sz w:val="18"/>
        <w:szCs w:val="18"/>
      </w:rPr>
      <w:t>v</w:t>
    </w:r>
    <w:r w:rsidRPr="0053345F">
      <w:rPr>
        <w:rFonts w:cs="Tahoma"/>
        <w:color w:val="808080"/>
        <w:sz w:val="18"/>
        <w:szCs w:val="18"/>
      </w:rPr>
      <w:t>1</w:t>
    </w:r>
    <w:r w:rsidR="00DB66ED" w:rsidRPr="0053345F">
      <w:rPr>
        <w:rFonts w:cs="Tahoma"/>
        <w:color w:val="808080"/>
        <w:sz w:val="18"/>
        <w:szCs w:val="18"/>
      </w:rPr>
      <w:t>.</w:t>
    </w:r>
    <w:r w:rsidR="00641E69">
      <w:rPr>
        <w:rFonts w:cs="Tahoma"/>
        <w:color w:val="808080"/>
        <w:sz w:val="18"/>
        <w:szCs w:val="18"/>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299"/>
    <w:multiLevelType w:val="hybridMultilevel"/>
    <w:tmpl w:val="ECB8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3"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3"/>
  </w:num>
  <w:num w:numId="4">
    <w:abstractNumId w:val="2"/>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06C40"/>
    <w:rsid w:val="00012A1C"/>
    <w:rsid w:val="00013B2C"/>
    <w:rsid w:val="000144E1"/>
    <w:rsid w:val="0001571C"/>
    <w:rsid w:val="00016221"/>
    <w:rsid w:val="000225F4"/>
    <w:rsid w:val="00036FD2"/>
    <w:rsid w:val="000406E8"/>
    <w:rsid w:val="00041244"/>
    <w:rsid w:val="00041D5F"/>
    <w:rsid w:val="00042DCB"/>
    <w:rsid w:val="00057E58"/>
    <w:rsid w:val="00061B47"/>
    <w:rsid w:val="00064C33"/>
    <w:rsid w:val="00066746"/>
    <w:rsid w:val="000718EC"/>
    <w:rsid w:val="000750CF"/>
    <w:rsid w:val="00076287"/>
    <w:rsid w:val="00092258"/>
    <w:rsid w:val="00094F6A"/>
    <w:rsid w:val="000968F7"/>
    <w:rsid w:val="000A4930"/>
    <w:rsid w:val="000D1C0F"/>
    <w:rsid w:val="000D28C5"/>
    <w:rsid w:val="000D5CB4"/>
    <w:rsid w:val="000E60AB"/>
    <w:rsid w:val="00101263"/>
    <w:rsid w:val="001046A4"/>
    <w:rsid w:val="00107E51"/>
    <w:rsid w:val="001115CD"/>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13D6"/>
    <w:rsid w:val="00182338"/>
    <w:rsid w:val="00186722"/>
    <w:rsid w:val="00187B8E"/>
    <w:rsid w:val="0019349C"/>
    <w:rsid w:val="00193C07"/>
    <w:rsid w:val="001A1DEB"/>
    <w:rsid w:val="001A57B2"/>
    <w:rsid w:val="001B0316"/>
    <w:rsid w:val="001B0548"/>
    <w:rsid w:val="001B0F05"/>
    <w:rsid w:val="001B6D52"/>
    <w:rsid w:val="001C0DC6"/>
    <w:rsid w:val="001C1863"/>
    <w:rsid w:val="001C2513"/>
    <w:rsid w:val="001C2CC4"/>
    <w:rsid w:val="001C2F3E"/>
    <w:rsid w:val="001C5CD8"/>
    <w:rsid w:val="001D0A60"/>
    <w:rsid w:val="001D453A"/>
    <w:rsid w:val="001D48A6"/>
    <w:rsid w:val="001E1778"/>
    <w:rsid w:val="001E2EB1"/>
    <w:rsid w:val="001E4954"/>
    <w:rsid w:val="001E49EC"/>
    <w:rsid w:val="001F5BF6"/>
    <w:rsid w:val="0020163A"/>
    <w:rsid w:val="00202991"/>
    <w:rsid w:val="002100DD"/>
    <w:rsid w:val="00213378"/>
    <w:rsid w:val="00214631"/>
    <w:rsid w:val="00215BC5"/>
    <w:rsid w:val="00221E56"/>
    <w:rsid w:val="002231EB"/>
    <w:rsid w:val="002316F0"/>
    <w:rsid w:val="00234F16"/>
    <w:rsid w:val="0024746C"/>
    <w:rsid w:val="0025182E"/>
    <w:rsid w:val="002531D3"/>
    <w:rsid w:val="00253A12"/>
    <w:rsid w:val="00255602"/>
    <w:rsid w:val="002639A3"/>
    <w:rsid w:val="00263F5C"/>
    <w:rsid w:val="00267EA5"/>
    <w:rsid w:val="002702D0"/>
    <w:rsid w:val="0027773B"/>
    <w:rsid w:val="0029395C"/>
    <w:rsid w:val="002A0498"/>
    <w:rsid w:val="002B204D"/>
    <w:rsid w:val="002B232C"/>
    <w:rsid w:val="002B697E"/>
    <w:rsid w:val="002B69A6"/>
    <w:rsid w:val="002C0ED4"/>
    <w:rsid w:val="002D7B4C"/>
    <w:rsid w:val="002E0D71"/>
    <w:rsid w:val="002F03E4"/>
    <w:rsid w:val="002F3D14"/>
    <w:rsid w:val="002F3DEC"/>
    <w:rsid w:val="002F555A"/>
    <w:rsid w:val="002F7229"/>
    <w:rsid w:val="00301609"/>
    <w:rsid w:val="003016A8"/>
    <w:rsid w:val="0030526C"/>
    <w:rsid w:val="003136EF"/>
    <w:rsid w:val="00321083"/>
    <w:rsid w:val="003379E0"/>
    <w:rsid w:val="00343E11"/>
    <w:rsid w:val="00346C5D"/>
    <w:rsid w:val="00351E0E"/>
    <w:rsid w:val="0035581B"/>
    <w:rsid w:val="00361E7F"/>
    <w:rsid w:val="00373C82"/>
    <w:rsid w:val="003752D9"/>
    <w:rsid w:val="00377A05"/>
    <w:rsid w:val="003828ED"/>
    <w:rsid w:val="003A3410"/>
    <w:rsid w:val="003B2B72"/>
    <w:rsid w:val="003B2BD8"/>
    <w:rsid w:val="003B7362"/>
    <w:rsid w:val="003D79B3"/>
    <w:rsid w:val="003E1CFD"/>
    <w:rsid w:val="003E29D8"/>
    <w:rsid w:val="003E6EC7"/>
    <w:rsid w:val="003F4BA9"/>
    <w:rsid w:val="003F643B"/>
    <w:rsid w:val="004017BF"/>
    <w:rsid w:val="00403182"/>
    <w:rsid w:val="00404FD8"/>
    <w:rsid w:val="00412B29"/>
    <w:rsid w:val="00413C2D"/>
    <w:rsid w:val="004202C0"/>
    <w:rsid w:val="00430277"/>
    <w:rsid w:val="004303DA"/>
    <w:rsid w:val="004349E0"/>
    <w:rsid w:val="00436DF9"/>
    <w:rsid w:val="00441F6A"/>
    <w:rsid w:val="00442130"/>
    <w:rsid w:val="00443BCB"/>
    <w:rsid w:val="004506E5"/>
    <w:rsid w:val="00457C53"/>
    <w:rsid w:val="00457D8D"/>
    <w:rsid w:val="00460796"/>
    <w:rsid w:val="00465B76"/>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1A2"/>
    <w:rsid w:val="004B2518"/>
    <w:rsid w:val="004B26E7"/>
    <w:rsid w:val="004B3AB0"/>
    <w:rsid w:val="004B5634"/>
    <w:rsid w:val="004C7E71"/>
    <w:rsid w:val="004D0B64"/>
    <w:rsid w:val="004E326F"/>
    <w:rsid w:val="004E364E"/>
    <w:rsid w:val="004E46FC"/>
    <w:rsid w:val="004E51DF"/>
    <w:rsid w:val="004E5321"/>
    <w:rsid w:val="004E68DE"/>
    <w:rsid w:val="004F16A5"/>
    <w:rsid w:val="00507C47"/>
    <w:rsid w:val="005104FF"/>
    <w:rsid w:val="00511405"/>
    <w:rsid w:val="00515776"/>
    <w:rsid w:val="00517E15"/>
    <w:rsid w:val="00532D22"/>
    <w:rsid w:val="0053345F"/>
    <w:rsid w:val="005440C5"/>
    <w:rsid w:val="005443A2"/>
    <w:rsid w:val="00547FB7"/>
    <w:rsid w:val="0055015C"/>
    <w:rsid w:val="00556DCD"/>
    <w:rsid w:val="0056692F"/>
    <w:rsid w:val="005874E8"/>
    <w:rsid w:val="00587609"/>
    <w:rsid w:val="00591AC5"/>
    <w:rsid w:val="00591BA4"/>
    <w:rsid w:val="005936D5"/>
    <w:rsid w:val="0059447E"/>
    <w:rsid w:val="005951B4"/>
    <w:rsid w:val="00595B15"/>
    <w:rsid w:val="00597494"/>
    <w:rsid w:val="005A1ADD"/>
    <w:rsid w:val="005A24AD"/>
    <w:rsid w:val="005A3605"/>
    <w:rsid w:val="005A42A4"/>
    <w:rsid w:val="005A620C"/>
    <w:rsid w:val="005B0344"/>
    <w:rsid w:val="005B0E65"/>
    <w:rsid w:val="005B4058"/>
    <w:rsid w:val="005B5F31"/>
    <w:rsid w:val="005C17B9"/>
    <w:rsid w:val="005C34C3"/>
    <w:rsid w:val="005C6375"/>
    <w:rsid w:val="005D4295"/>
    <w:rsid w:val="005D619E"/>
    <w:rsid w:val="005E00B4"/>
    <w:rsid w:val="005F1AC3"/>
    <w:rsid w:val="005F32C9"/>
    <w:rsid w:val="005F48F9"/>
    <w:rsid w:val="00613CC3"/>
    <w:rsid w:val="00614E67"/>
    <w:rsid w:val="0061639B"/>
    <w:rsid w:val="0063189A"/>
    <w:rsid w:val="00641E69"/>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77EE6"/>
    <w:rsid w:val="00694298"/>
    <w:rsid w:val="006A054E"/>
    <w:rsid w:val="006A0CE1"/>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23272"/>
    <w:rsid w:val="0072698C"/>
    <w:rsid w:val="007323A9"/>
    <w:rsid w:val="007323CE"/>
    <w:rsid w:val="00733749"/>
    <w:rsid w:val="00734390"/>
    <w:rsid w:val="007348CC"/>
    <w:rsid w:val="007373C9"/>
    <w:rsid w:val="00742E99"/>
    <w:rsid w:val="0074451B"/>
    <w:rsid w:val="00750234"/>
    <w:rsid w:val="0075228C"/>
    <w:rsid w:val="00755FF0"/>
    <w:rsid w:val="00763299"/>
    <w:rsid w:val="00770BC5"/>
    <w:rsid w:val="007738D9"/>
    <w:rsid w:val="00776A50"/>
    <w:rsid w:val="00776D11"/>
    <w:rsid w:val="007803B4"/>
    <w:rsid w:val="00785D8C"/>
    <w:rsid w:val="007870A5"/>
    <w:rsid w:val="007953F6"/>
    <w:rsid w:val="00797D8C"/>
    <w:rsid w:val="00797F28"/>
    <w:rsid w:val="007A2A95"/>
    <w:rsid w:val="007A4AC0"/>
    <w:rsid w:val="007A4DCF"/>
    <w:rsid w:val="007B226D"/>
    <w:rsid w:val="007B3683"/>
    <w:rsid w:val="007B50D3"/>
    <w:rsid w:val="007B7C0D"/>
    <w:rsid w:val="007D21A0"/>
    <w:rsid w:val="007D3AA6"/>
    <w:rsid w:val="007D50FC"/>
    <w:rsid w:val="007D7408"/>
    <w:rsid w:val="007E4EBB"/>
    <w:rsid w:val="007F360A"/>
    <w:rsid w:val="007F3F39"/>
    <w:rsid w:val="007F4172"/>
    <w:rsid w:val="00803419"/>
    <w:rsid w:val="00803E8B"/>
    <w:rsid w:val="00810BF4"/>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37F5"/>
    <w:rsid w:val="0088457C"/>
    <w:rsid w:val="008852CA"/>
    <w:rsid w:val="00885D72"/>
    <w:rsid w:val="00890A33"/>
    <w:rsid w:val="00891274"/>
    <w:rsid w:val="008926FB"/>
    <w:rsid w:val="00892FBC"/>
    <w:rsid w:val="00894E7A"/>
    <w:rsid w:val="00896D30"/>
    <w:rsid w:val="008A40B6"/>
    <w:rsid w:val="008A53BD"/>
    <w:rsid w:val="008A5D47"/>
    <w:rsid w:val="008B0774"/>
    <w:rsid w:val="008B2322"/>
    <w:rsid w:val="008B4E70"/>
    <w:rsid w:val="008B5FF3"/>
    <w:rsid w:val="008B6608"/>
    <w:rsid w:val="008B7B03"/>
    <w:rsid w:val="008C2334"/>
    <w:rsid w:val="008D7F75"/>
    <w:rsid w:val="008F1A78"/>
    <w:rsid w:val="008F55AB"/>
    <w:rsid w:val="008F6BC2"/>
    <w:rsid w:val="008F7BC7"/>
    <w:rsid w:val="009018B7"/>
    <w:rsid w:val="00902962"/>
    <w:rsid w:val="00902BC3"/>
    <w:rsid w:val="0091311D"/>
    <w:rsid w:val="009257EB"/>
    <w:rsid w:val="009333F3"/>
    <w:rsid w:val="00933591"/>
    <w:rsid w:val="00933B56"/>
    <w:rsid w:val="0093621D"/>
    <w:rsid w:val="00937B97"/>
    <w:rsid w:val="0095242E"/>
    <w:rsid w:val="009577AF"/>
    <w:rsid w:val="00957DB8"/>
    <w:rsid w:val="00961325"/>
    <w:rsid w:val="00963A85"/>
    <w:rsid w:val="00966A55"/>
    <w:rsid w:val="009812F6"/>
    <w:rsid w:val="00987178"/>
    <w:rsid w:val="009915E0"/>
    <w:rsid w:val="009A0ECC"/>
    <w:rsid w:val="009A23A1"/>
    <w:rsid w:val="009A58C1"/>
    <w:rsid w:val="009A5B3A"/>
    <w:rsid w:val="009B038A"/>
    <w:rsid w:val="009B27EA"/>
    <w:rsid w:val="009B27F8"/>
    <w:rsid w:val="009B33EF"/>
    <w:rsid w:val="009C155D"/>
    <w:rsid w:val="009D0B62"/>
    <w:rsid w:val="009D7511"/>
    <w:rsid w:val="009F52C9"/>
    <w:rsid w:val="009F7B05"/>
    <w:rsid w:val="00A0021C"/>
    <w:rsid w:val="00A0142A"/>
    <w:rsid w:val="00A10A3C"/>
    <w:rsid w:val="00A118B6"/>
    <w:rsid w:val="00A11AFF"/>
    <w:rsid w:val="00A21F2A"/>
    <w:rsid w:val="00A24AEA"/>
    <w:rsid w:val="00A25EEA"/>
    <w:rsid w:val="00A27C4B"/>
    <w:rsid w:val="00A309AF"/>
    <w:rsid w:val="00A35616"/>
    <w:rsid w:val="00A35798"/>
    <w:rsid w:val="00A35A50"/>
    <w:rsid w:val="00A40685"/>
    <w:rsid w:val="00A4085F"/>
    <w:rsid w:val="00A44AE4"/>
    <w:rsid w:val="00A4534E"/>
    <w:rsid w:val="00A513C4"/>
    <w:rsid w:val="00A5407E"/>
    <w:rsid w:val="00A5550D"/>
    <w:rsid w:val="00A60E12"/>
    <w:rsid w:val="00A61EF3"/>
    <w:rsid w:val="00A6734A"/>
    <w:rsid w:val="00A67366"/>
    <w:rsid w:val="00A70CD2"/>
    <w:rsid w:val="00A7180F"/>
    <w:rsid w:val="00A72EEE"/>
    <w:rsid w:val="00A85E2E"/>
    <w:rsid w:val="00A90DFF"/>
    <w:rsid w:val="00A94905"/>
    <w:rsid w:val="00A965EA"/>
    <w:rsid w:val="00AA0885"/>
    <w:rsid w:val="00AA17EC"/>
    <w:rsid w:val="00AA248C"/>
    <w:rsid w:val="00AA4E27"/>
    <w:rsid w:val="00AA50CF"/>
    <w:rsid w:val="00AA52EC"/>
    <w:rsid w:val="00AA697A"/>
    <w:rsid w:val="00AB2FCA"/>
    <w:rsid w:val="00AB4DE4"/>
    <w:rsid w:val="00AC15FA"/>
    <w:rsid w:val="00AC372E"/>
    <w:rsid w:val="00AD30D5"/>
    <w:rsid w:val="00AD3348"/>
    <w:rsid w:val="00AD3CFB"/>
    <w:rsid w:val="00AE19F0"/>
    <w:rsid w:val="00AE2D6B"/>
    <w:rsid w:val="00AE3A43"/>
    <w:rsid w:val="00AE5B20"/>
    <w:rsid w:val="00AE6B4B"/>
    <w:rsid w:val="00AF1ED8"/>
    <w:rsid w:val="00AF200C"/>
    <w:rsid w:val="00AF7CF9"/>
    <w:rsid w:val="00B14CE2"/>
    <w:rsid w:val="00B161F4"/>
    <w:rsid w:val="00B275FA"/>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31B7"/>
    <w:rsid w:val="00BC4910"/>
    <w:rsid w:val="00BC6B48"/>
    <w:rsid w:val="00BC7CA2"/>
    <w:rsid w:val="00BD622B"/>
    <w:rsid w:val="00BD661B"/>
    <w:rsid w:val="00BE0328"/>
    <w:rsid w:val="00BE2EBF"/>
    <w:rsid w:val="00BE5BDF"/>
    <w:rsid w:val="00BF1140"/>
    <w:rsid w:val="00BF4D31"/>
    <w:rsid w:val="00BF7D04"/>
    <w:rsid w:val="00C01E7C"/>
    <w:rsid w:val="00C02730"/>
    <w:rsid w:val="00C12364"/>
    <w:rsid w:val="00C13A1D"/>
    <w:rsid w:val="00C162D4"/>
    <w:rsid w:val="00C22C7F"/>
    <w:rsid w:val="00C248CD"/>
    <w:rsid w:val="00C32073"/>
    <w:rsid w:val="00C37B03"/>
    <w:rsid w:val="00C476A3"/>
    <w:rsid w:val="00C47D58"/>
    <w:rsid w:val="00C51EC4"/>
    <w:rsid w:val="00C54274"/>
    <w:rsid w:val="00C556F9"/>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56A7"/>
    <w:rsid w:val="00CA7F67"/>
    <w:rsid w:val="00CB1FDA"/>
    <w:rsid w:val="00CB234F"/>
    <w:rsid w:val="00CC0A2A"/>
    <w:rsid w:val="00CC0D6E"/>
    <w:rsid w:val="00CC216B"/>
    <w:rsid w:val="00CC4921"/>
    <w:rsid w:val="00CC51E5"/>
    <w:rsid w:val="00CC6BDE"/>
    <w:rsid w:val="00CC76AE"/>
    <w:rsid w:val="00CD3EEE"/>
    <w:rsid w:val="00CD6025"/>
    <w:rsid w:val="00CE03C9"/>
    <w:rsid w:val="00CE1DD4"/>
    <w:rsid w:val="00CE213B"/>
    <w:rsid w:val="00CE2FC9"/>
    <w:rsid w:val="00CE3A23"/>
    <w:rsid w:val="00CE5644"/>
    <w:rsid w:val="00CF27BE"/>
    <w:rsid w:val="00CF58E3"/>
    <w:rsid w:val="00CF6CFA"/>
    <w:rsid w:val="00D13747"/>
    <w:rsid w:val="00D13C9F"/>
    <w:rsid w:val="00D14445"/>
    <w:rsid w:val="00D1779D"/>
    <w:rsid w:val="00D2055F"/>
    <w:rsid w:val="00D21A1E"/>
    <w:rsid w:val="00D2255C"/>
    <w:rsid w:val="00D24D7C"/>
    <w:rsid w:val="00D30A07"/>
    <w:rsid w:val="00D31BE8"/>
    <w:rsid w:val="00D3253C"/>
    <w:rsid w:val="00D32A06"/>
    <w:rsid w:val="00D40BB6"/>
    <w:rsid w:val="00D43999"/>
    <w:rsid w:val="00D44E3B"/>
    <w:rsid w:val="00D45273"/>
    <w:rsid w:val="00D52E56"/>
    <w:rsid w:val="00D5309E"/>
    <w:rsid w:val="00D70F88"/>
    <w:rsid w:val="00D76342"/>
    <w:rsid w:val="00D765E1"/>
    <w:rsid w:val="00D801AC"/>
    <w:rsid w:val="00D8770D"/>
    <w:rsid w:val="00D9219E"/>
    <w:rsid w:val="00D93648"/>
    <w:rsid w:val="00D970B4"/>
    <w:rsid w:val="00DA0BEF"/>
    <w:rsid w:val="00DB3C61"/>
    <w:rsid w:val="00DB66ED"/>
    <w:rsid w:val="00DD09B1"/>
    <w:rsid w:val="00DD301F"/>
    <w:rsid w:val="00DD6850"/>
    <w:rsid w:val="00DE2A18"/>
    <w:rsid w:val="00DE3F87"/>
    <w:rsid w:val="00DE6132"/>
    <w:rsid w:val="00DE6DBA"/>
    <w:rsid w:val="00DF19F5"/>
    <w:rsid w:val="00DF43C1"/>
    <w:rsid w:val="00E01BD0"/>
    <w:rsid w:val="00E04A56"/>
    <w:rsid w:val="00E07862"/>
    <w:rsid w:val="00E122F9"/>
    <w:rsid w:val="00E129E4"/>
    <w:rsid w:val="00E23779"/>
    <w:rsid w:val="00E276BF"/>
    <w:rsid w:val="00E3203F"/>
    <w:rsid w:val="00E32BC3"/>
    <w:rsid w:val="00E34B97"/>
    <w:rsid w:val="00E42EF5"/>
    <w:rsid w:val="00E455BA"/>
    <w:rsid w:val="00E45FA0"/>
    <w:rsid w:val="00E463FD"/>
    <w:rsid w:val="00E52F0C"/>
    <w:rsid w:val="00E53C32"/>
    <w:rsid w:val="00E5417B"/>
    <w:rsid w:val="00E541FA"/>
    <w:rsid w:val="00E565A7"/>
    <w:rsid w:val="00E6017F"/>
    <w:rsid w:val="00E60652"/>
    <w:rsid w:val="00E61EEB"/>
    <w:rsid w:val="00E67293"/>
    <w:rsid w:val="00E74245"/>
    <w:rsid w:val="00E746DC"/>
    <w:rsid w:val="00E75421"/>
    <w:rsid w:val="00E82187"/>
    <w:rsid w:val="00E82D86"/>
    <w:rsid w:val="00EA40BA"/>
    <w:rsid w:val="00EC16DF"/>
    <w:rsid w:val="00EC63C4"/>
    <w:rsid w:val="00ED35EF"/>
    <w:rsid w:val="00ED388A"/>
    <w:rsid w:val="00ED4347"/>
    <w:rsid w:val="00ED6E77"/>
    <w:rsid w:val="00ED729C"/>
    <w:rsid w:val="00ED79DA"/>
    <w:rsid w:val="00EE3E0A"/>
    <w:rsid w:val="00EE5771"/>
    <w:rsid w:val="00EE7378"/>
    <w:rsid w:val="00EE76B4"/>
    <w:rsid w:val="00EF584F"/>
    <w:rsid w:val="00F022E3"/>
    <w:rsid w:val="00F039AE"/>
    <w:rsid w:val="00F1433B"/>
    <w:rsid w:val="00F17039"/>
    <w:rsid w:val="00F2301F"/>
    <w:rsid w:val="00F26D9F"/>
    <w:rsid w:val="00F36090"/>
    <w:rsid w:val="00F369FF"/>
    <w:rsid w:val="00F37749"/>
    <w:rsid w:val="00F51CAB"/>
    <w:rsid w:val="00F51EE9"/>
    <w:rsid w:val="00F6392A"/>
    <w:rsid w:val="00F63E0F"/>
    <w:rsid w:val="00F648C1"/>
    <w:rsid w:val="00F73277"/>
    <w:rsid w:val="00F827A5"/>
    <w:rsid w:val="00F8476E"/>
    <w:rsid w:val="00F96566"/>
    <w:rsid w:val="00FA5AD6"/>
    <w:rsid w:val="00FA6139"/>
    <w:rsid w:val="00FA6C9F"/>
    <w:rsid w:val="00FB32DA"/>
    <w:rsid w:val="00FC189E"/>
    <w:rsid w:val="00FD656A"/>
    <w:rsid w:val="00FE2451"/>
    <w:rsid w:val="00FE3B8D"/>
    <w:rsid w:val="00FE4FCB"/>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 w:type="character" w:customStyle="1" w:styleId="UnresolvedMention4">
    <w:name w:val="Unresolved Mention4"/>
    <w:basedOn w:val="DefaultParagraphFont"/>
    <w:uiPriority w:val="99"/>
    <w:semiHidden/>
    <w:unhideWhenUsed/>
    <w:rsid w:val="00E60652"/>
    <w:rPr>
      <w:color w:val="605E5C"/>
      <w:shd w:val="clear" w:color="auto" w:fill="E1DFDD"/>
    </w:rPr>
  </w:style>
  <w:style w:type="character" w:customStyle="1" w:styleId="UnresolvedMention5">
    <w:name w:val="Unresolved Mention5"/>
    <w:basedOn w:val="DefaultParagraphFont"/>
    <w:uiPriority w:val="99"/>
    <w:semiHidden/>
    <w:unhideWhenUsed/>
    <w:rsid w:val="001C0DC6"/>
    <w:rPr>
      <w:color w:val="605E5C"/>
      <w:shd w:val="clear" w:color="auto" w:fill="E1DFDD"/>
    </w:rPr>
  </w:style>
  <w:style w:type="character" w:customStyle="1" w:styleId="UnresolvedMention">
    <w:name w:val="Unresolved Mention"/>
    <w:basedOn w:val="DefaultParagraphFont"/>
    <w:uiPriority w:val="99"/>
    <w:semiHidden/>
    <w:unhideWhenUsed/>
    <w:rsid w:val="00677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2743CFE098749144AFD617DA14CEFDE7"/>
        <w:category>
          <w:name w:val="General"/>
          <w:gallery w:val="placeholder"/>
        </w:category>
        <w:types>
          <w:type w:val="bbPlcHdr"/>
        </w:types>
        <w:behaviors>
          <w:behavior w:val="content"/>
        </w:behaviors>
        <w:guid w:val="{7A986C7E-1471-7B4D-A412-A76518DD4DDC}"/>
      </w:docPartPr>
      <w:docPartBody>
        <w:p w:rsidR="00DE53E9" w:rsidRDefault="002F0EB2" w:rsidP="002F0EB2">
          <w:pPr>
            <w:pStyle w:val="2743CFE098749144AFD617DA14CEFDE7"/>
          </w:pPr>
          <w:r w:rsidRPr="001D17B4">
            <w:rPr>
              <w:rStyle w:val="PlaceholderText"/>
            </w:rPr>
            <w:t>Click here to enter text.</w:t>
          </w:r>
        </w:p>
      </w:docPartBody>
    </w:docPart>
    <w:docPart>
      <w:docPartPr>
        <w:name w:val="107F3DD4F2675F40847EFAF51686BB79"/>
        <w:category>
          <w:name w:val="General"/>
          <w:gallery w:val="placeholder"/>
        </w:category>
        <w:types>
          <w:type w:val="bbPlcHdr"/>
        </w:types>
        <w:behaviors>
          <w:behavior w:val="content"/>
        </w:behaviors>
        <w:guid w:val="{E3434727-4FF7-0640-9D52-DB7F575714F3}"/>
      </w:docPartPr>
      <w:docPartBody>
        <w:p w:rsidR="00BE2838" w:rsidRDefault="008A65D3" w:rsidP="008A65D3">
          <w:pPr>
            <w:pStyle w:val="107F3DD4F2675F40847EFAF51686BB79"/>
          </w:pPr>
          <w:r w:rsidRPr="005D48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0E1647"/>
    <w:rsid w:val="00105297"/>
    <w:rsid w:val="00242835"/>
    <w:rsid w:val="0025480E"/>
    <w:rsid w:val="0027375A"/>
    <w:rsid w:val="00293358"/>
    <w:rsid w:val="002E216B"/>
    <w:rsid w:val="002F0EB2"/>
    <w:rsid w:val="00326E89"/>
    <w:rsid w:val="003C7C39"/>
    <w:rsid w:val="004770F8"/>
    <w:rsid w:val="004B7205"/>
    <w:rsid w:val="004C3DE9"/>
    <w:rsid w:val="005932D5"/>
    <w:rsid w:val="005B78C5"/>
    <w:rsid w:val="005F12C9"/>
    <w:rsid w:val="0063609B"/>
    <w:rsid w:val="006576F4"/>
    <w:rsid w:val="007516AE"/>
    <w:rsid w:val="007F2FF8"/>
    <w:rsid w:val="00855B20"/>
    <w:rsid w:val="008A65D3"/>
    <w:rsid w:val="008B3986"/>
    <w:rsid w:val="008D1BD5"/>
    <w:rsid w:val="009759FC"/>
    <w:rsid w:val="00AC2C38"/>
    <w:rsid w:val="00AC5AF0"/>
    <w:rsid w:val="00AE0C0F"/>
    <w:rsid w:val="00B961DC"/>
    <w:rsid w:val="00BE2838"/>
    <w:rsid w:val="00C52B4B"/>
    <w:rsid w:val="00D43E05"/>
    <w:rsid w:val="00D56D01"/>
    <w:rsid w:val="00D75109"/>
    <w:rsid w:val="00D875D9"/>
    <w:rsid w:val="00DD7F50"/>
    <w:rsid w:val="00DE53E9"/>
    <w:rsid w:val="00DE7171"/>
    <w:rsid w:val="00DF3FD3"/>
    <w:rsid w:val="00EE6F73"/>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80E"/>
    <w:rPr>
      <w:color w:val="808080"/>
    </w:rPr>
  </w:style>
  <w:style w:type="paragraph" w:customStyle="1" w:styleId="2743CFE098749144AFD617DA14CEFDE7">
    <w:name w:val="2743CFE098749144AFD617DA14CEFDE7"/>
    <w:rsid w:val="002F0EB2"/>
  </w:style>
  <w:style w:type="paragraph" w:customStyle="1" w:styleId="B13E949DD2CB344CA3AFBF0D6FE8A3D7">
    <w:name w:val="B13E949DD2CB344CA3AFBF0D6FE8A3D7"/>
    <w:rsid w:val="00AC2C38"/>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107F3DD4F2675F40847EFAF51686BB79">
    <w:name w:val="107F3DD4F2675F40847EFAF51686BB79"/>
    <w:rsid w:val="008A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A185-1C1A-417B-97CB-8F65BB27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4</TotalTime>
  <Pages>14</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17569</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4</cp:revision>
  <cp:lastPrinted>2010-10-01T09:12:00Z</cp:lastPrinted>
  <dcterms:created xsi:type="dcterms:W3CDTF">2022-11-04T06:22:00Z</dcterms:created>
  <dcterms:modified xsi:type="dcterms:W3CDTF">2022-11-04T06:38:00Z</dcterms:modified>
  <cp:category>Template</cp:category>
</cp:coreProperties>
</file>