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A88FB" w14:textId="77777777" w:rsidR="00AA17EC" w:rsidRPr="00855E7C" w:rsidRDefault="00855E7C" w:rsidP="00855E7C">
      <w:pPr>
        <w:jc w:val="center"/>
        <w:rPr>
          <w:rFonts w:cs="Arial"/>
        </w:rPr>
      </w:pPr>
      <w:r w:rsidRPr="00855E7C">
        <w:rPr>
          <w:rFonts w:cs="Arial"/>
          <w:noProof/>
        </w:rPr>
        <w:drawing>
          <wp:inline distT="0" distB="0" distL="0" distR="0" wp14:anchorId="6F1DF517" wp14:editId="296B31B5">
            <wp:extent cx="1762125" cy="1114425"/>
            <wp:effectExtent l="0" t="0" r="9525" b="0"/>
            <wp:docPr id="3" name="Picture 2" descr="C:\Users\trangptt11.FSOFT.FPT.VN\Downloads\Fsoftlogo-02.png"/>
            <wp:cNvGraphicFramePr/>
            <a:graphic xmlns:a="http://schemas.openxmlformats.org/drawingml/2006/main">
              <a:graphicData uri="http://schemas.openxmlformats.org/drawingml/2006/picture">
                <pic:pic xmlns:pic="http://schemas.openxmlformats.org/drawingml/2006/picture">
                  <pic:nvPicPr>
                    <pic:cNvPr id="3" name="Picture 2" descr="C:\Users\trangptt11.FSOFT.FPT.VN\Downloads\Fsoftlogo-0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786" cy="1114843"/>
                    </a:xfrm>
                    <a:prstGeom prst="rect">
                      <a:avLst/>
                    </a:prstGeom>
                    <a:noFill/>
                    <a:ln>
                      <a:noFill/>
                    </a:ln>
                  </pic:spPr>
                </pic:pic>
              </a:graphicData>
            </a:graphic>
          </wp:inline>
        </w:drawing>
      </w:r>
    </w:p>
    <w:p w14:paraId="6535DCC6" w14:textId="77777777" w:rsidR="00AA17EC" w:rsidRPr="00855E7C" w:rsidRDefault="00AA17EC" w:rsidP="00892FBC">
      <w:pPr>
        <w:rPr>
          <w:rFonts w:cs="Arial"/>
        </w:rPr>
      </w:pPr>
    </w:p>
    <w:p w14:paraId="5E637EBB" w14:textId="77777777" w:rsidR="00AA17EC" w:rsidRPr="00855E7C" w:rsidRDefault="00AA17EC" w:rsidP="00892FBC">
      <w:pPr>
        <w:rPr>
          <w:rFonts w:cs="Arial"/>
        </w:rPr>
      </w:pPr>
    </w:p>
    <w:p w14:paraId="2A01ADDE" w14:textId="77777777" w:rsidR="00AA17EC" w:rsidRPr="00855E7C" w:rsidRDefault="00AA17EC" w:rsidP="00892FBC">
      <w:pPr>
        <w:rPr>
          <w:rFonts w:cs="Arial"/>
        </w:rPr>
      </w:pPr>
    </w:p>
    <w:p w14:paraId="1D77E0A3" w14:textId="77777777" w:rsidR="001B0548" w:rsidRPr="00855E7C" w:rsidRDefault="001B0548" w:rsidP="00892FBC">
      <w:pPr>
        <w:rPr>
          <w:rFonts w:cs="Arial"/>
        </w:rPr>
      </w:pPr>
    </w:p>
    <w:p w14:paraId="1AF18F87" w14:textId="35E2F79D" w:rsidR="00AA17EC" w:rsidRPr="003743A1" w:rsidRDefault="00AA17EC" w:rsidP="002316F0">
      <w:pPr>
        <w:spacing w:before="240"/>
        <w:jc w:val="center"/>
        <w:rPr>
          <w:rFonts w:eastAsia="Times New Roman" w:cs="Arial"/>
          <w:b/>
          <w:i/>
          <w:color w:val="AC0000"/>
          <w:sz w:val="36"/>
          <w:szCs w:val="36"/>
          <w:lang w:val="en-AU"/>
        </w:rPr>
      </w:pPr>
      <w:r w:rsidRPr="003743A1">
        <w:rPr>
          <w:rFonts w:eastAsia="Times New Roman" w:cs="Arial"/>
          <w:b/>
          <w:i/>
          <w:color w:val="AC0000"/>
          <w:sz w:val="36"/>
          <w:szCs w:val="36"/>
          <w:lang w:val="en-AU"/>
        </w:rPr>
        <w:t>G</w:t>
      </w:r>
      <w:r w:rsidR="00D024E6" w:rsidRPr="003743A1">
        <w:rPr>
          <w:rFonts w:eastAsia="Times New Roman" w:cs="Arial"/>
          <w:b/>
          <w:i/>
          <w:color w:val="AC0000"/>
          <w:sz w:val="36"/>
          <w:szCs w:val="36"/>
          <w:lang w:val="en-AU"/>
        </w:rPr>
        <w:t>uideline</w:t>
      </w:r>
    </w:p>
    <w:p w14:paraId="401BFE5E" w14:textId="6F071DBB" w:rsidR="00AA17EC" w:rsidRPr="003743A1" w:rsidRDefault="0059447E" w:rsidP="002316F0">
      <w:pPr>
        <w:spacing w:before="240"/>
        <w:jc w:val="center"/>
        <w:rPr>
          <w:rFonts w:eastAsia="Times New Roman" w:cs="Arial"/>
          <w:b/>
          <w:color w:val="AC0000"/>
          <w:sz w:val="50"/>
          <w:szCs w:val="50"/>
          <w:lang w:val="en-AU"/>
        </w:rPr>
      </w:pPr>
      <w:r w:rsidRPr="003743A1">
        <w:rPr>
          <w:rFonts w:eastAsia="Times New Roman" w:cs="Arial"/>
          <w:b/>
          <w:color w:val="AC0000"/>
          <w:sz w:val="50"/>
          <w:szCs w:val="50"/>
          <w:lang w:val="en-AU"/>
        </w:rPr>
        <w:t>PII C</w:t>
      </w:r>
      <w:r w:rsidR="00D024E6" w:rsidRPr="003743A1">
        <w:rPr>
          <w:rFonts w:eastAsia="Times New Roman" w:cs="Arial"/>
          <w:b/>
          <w:color w:val="AC0000"/>
          <w:sz w:val="50"/>
          <w:szCs w:val="50"/>
          <w:lang w:val="en-AU"/>
        </w:rPr>
        <w:t>LASSIFICATION AND RATING</w:t>
      </w:r>
    </w:p>
    <w:p w14:paraId="0CFA2B34" w14:textId="77777777" w:rsidR="00AA17EC" w:rsidRPr="00144F12" w:rsidRDefault="00AA17EC" w:rsidP="00892FBC">
      <w:pPr>
        <w:rPr>
          <w:rFonts w:cs="Arial"/>
          <w:sz w:val="36"/>
          <w:szCs w:val="36"/>
        </w:rPr>
      </w:pPr>
    </w:p>
    <w:p w14:paraId="74580F34" w14:textId="77777777" w:rsidR="00855E7C" w:rsidRPr="00855E7C" w:rsidRDefault="00855E7C" w:rsidP="00892FBC">
      <w:pPr>
        <w:rPr>
          <w:rFonts w:cs="Arial"/>
        </w:rPr>
      </w:pPr>
    </w:p>
    <w:tbl>
      <w:tblPr>
        <w:tblW w:w="0" w:type="auto"/>
        <w:jc w:val="center"/>
        <w:tblLayout w:type="fixed"/>
        <w:tblLook w:val="0000" w:firstRow="0" w:lastRow="0" w:firstColumn="0" w:lastColumn="0" w:noHBand="0" w:noVBand="0"/>
      </w:tblPr>
      <w:tblGrid>
        <w:gridCol w:w="3156"/>
        <w:gridCol w:w="3287"/>
      </w:tblGrid>
      <w:tr w:rsidR="00AA17EC" w:rsidRPr="00D024E6" w14:paraId="1FFCE810" w14:textId="77777777" w:rsidTr="00B275FA">
        <w:trPr>
          <w:jc w:val="center"/>
        </w:trPr>
        <w:tc>
          <w:tcPr>
            <w:tcW w:w="3156" w:type="dxa"/>
            <w:tcBorders>
              <w:top w:val="nil"/>
              <w:left w:val="nil"/>
              <w:bottom w:val="single" w:sz="8" w:space="0" w:color="auto"/>
              <w:right w:val="single" w:sz="8" w:space="0" w:color="auto"/>
            </w:tcBorders>
            <w:shd w:val="clear" w:color="auto" w:fill="D9D9D9"/>
          </w:tcPr>
          <w:p w14:paraId="714C2943" w14:textId="3A56464C" w:rsidR="00AA17EC" w:rsidRPr="00D024E6" w:rsidRDefault="00E332E7" w:rsidP="00892FBC">
            <w:pPr>
              <w:pStyle w:val="HeadingLv1"/>
              <w:rPr>
                <w:rFonts w:ascii="Arial" w:hAnsi="Arial" w:cs="Arial"/>
                <w:szCs w:val="20"/>
              </w:rPr>
            </w:pPr>
            <w:r w:rsidRPr="00D024E6">
              <w:rPr>
                <w:rFonts w:ascii="Arial" w:hAnsi="Arial" w:cs="Arial"/>
                <w:szCs w:val="20"/>
              </w:rPr>
              <w:t xml:space="preserve">Document </w:t>
            </w:r>
            <w:r w:rsidR="00AA17EC" w:rsidRPr="00D024E6">
              <w:rPr>
                <w:rFonts w:ascii="Arial" w:hAnsi="Arial" w:cs="Arial"/>
                <w:szCs w:val="20"/>
              </w:rPr>
              <w:t>Code</w:t>
            </w:r>
          </w:p>
        </w:tc>
        <w:tc>
          <w:tcPr>
            <w:tcW w:w="3287" w:type="dxa"/>
            <w:tcBorders>
              <w:top w:val="nil"/>
              <w:left w:val="single" w:sz="8" w:space="0" w:color="auto"/>
              <w:bottom w:val="single" w:sz="8" w:space="0" w:color="auto"/>
              <w:right w:val="nil"/>
            </w:tcBorders>
            <w:shd w:val="clear" w:color="auto" w:fill="D9D9D9"/>
          </w:tcPr>
          <w:p w14:paraId="11D7D46C" w14:textId="77777777" w:rsidR="00AA17EC" w:rsidRPr="00D024E6" w:rsidRDefault="008A5710" w:rsidP="003743A1">
            <w:pPr>
              <w:pStyle w:val="HeadingLv2"/>
              <w:rPr>
                <w:lang w:val="de-DE"/>
              </w:rPr>
            </w:pPr>
            <w:r w:rsidRPr="00D024E6">
              <w:t>06e-HD/SG/HDCV/FSOFT</w:t>
            </w:r>
          </w:p>
        </w:tc>
      </w:tr>
      <w:tr w:rsidR="00AA17EC" w:rsidRPr="00D024E6" w14:paraId="75BB90CD" w14:textId="77777777" w:rsidTr="00B275FA">
        <w:trPr>
          <w:jc w:val="center"/>
        </w:trPr>
        <w:tc>
          <w:tcPr>
            <w:tcW w:w="3156" w:type="dxa"/>
            <w:tcBorders>
              <w:top w:val="single" w:sz="8" w:space="0" w:color="auto"/>
              <w:left w:val="nil"/>
              <w:bottom w:val="single" w:sz="8" w:space="0" w:color="auto"/>
              <w:right w:val="single" w:sz="8" w:space="0" w:color="auto"/>
            </w:tcBorders>
            <w:shd w:val="clear" w:color="auto" w:fill="D9D9D9"/>
          </w:tcPr>
          <w:p w14:paraId="445F6376" w14:textId="77777777" w:rsidR="00AA17EC" w:rsidRPr="00D024E6" w:rsidRDefault="00186722" w:rsidP="00892FBC">
            <w:pPr>
              <w:pStyle w:val="HeadingLv1"/>
              <w:rPr>
                <w:rFonts w:ascii="Arial" w:hAnsi="Arial" w:cs="Arial"/>
                <w:szCs w:val="20"/>
              </w:rPr>
            </w:pPr>
            <w:r w:rsidRPr="00D024E6">
              <w:rPr>
                <w:rFonts w:ascii="Arial" w:hAnsi="Arial" w:cs="Arial"/>
                <w:szCs w:val="20"/>
              </w:rPr>
              <w:t>Version</w:t>
            </w:r>
          </w:p>
        </w:tc>
        <w:tc>
          <w:tcPr>
            <w:tcW w:w="3287" w:type="dxa"/>
            <w:tcBorders>
              <w:top w:val="single" w:sz="8" w:space="0" w:color="auto"/>
              <w:left w:val="single" w:sz="8" w:space="0" w:color="auto"/>
              <w:bottom w:val="single" w:sz="8" w:space="0" w:color="auto"/>
              <w:right w:val="nil"/>
            </w:tcBorders>
            <w:shd w:val="clear" w:color="auto" w:fill="D9D9D9"/>
          </w:tcPr>
          <w:p w14:paraId="1A7781CF" w14:textId="6D6DF226" w:rsidR="00AA17EC" w:rsidRPr="00D024E6" w:rsidRDefault="00CD79A8" w:rsidP="003743A1">
            <w:pPr>
              <w:pStyle w:val="HeadingLv2"/>
            </w:pPr>
            <w:r>
              <w:rPr>
                <w:lang w:val="de-DE"/>
              </w:rPr>
              <w:t>3.</w:t>
            </w:r>
            <w:r w:rsidR="000D7E9E">
              <w:rPr>
                <w:lang w:val="de-DE"/>
              </w:rPr>
              <w:t>3</w:t>
            </w:r>
          </w:p>
        </w:tc>
      </w:tr>
      <w:tr w:rsidR="00AA17EC" w:rsidRPr="00D024E6" w14:paraId="52FFD2AB" w14:textId="77777777" w:rsidTr="00B275FA">
        <w:trPr>
          <w:jc w:val="center"/>
        </w:trPr>
        <w:tc>
          <w:tcPr>
            <w:tcW w:w="3156" w:type="dxa"/>
            <w:tcBorders>
              <w:top w:val="single" w:sz="8" w:space="0" w:color="auto"/>
              <w:left w:val="nil"/>
              <w:bottom w:val="nil"/>
              <w:right w:val="single" w:sz="8" w:space="0" w:color="auto"/>
            </w:tcBorders>
            <w:shd w:val="clear" w:color="auto" w:fill="D9D9D9"/>
          </w:tcPr>
          <w:p w14:paraId="37AF07ED" w14:textId="77777777" w:rsidR="00AA17EC" w:rsidRPr="00D024E6" w:rsidRDefault="00AA17EC" w:rsidP="00892FBC">
            <w:pPr>
              <w:pStyle w:val="HeadingLv1"/>
              <w:rPr>
                <w:rFonts w:ascii="Arial" w:hAnsi="Arial" w:cs="Arial"/>
                <w:szCs w:val="20"/>
              </w:rPr>
            </w:pPr>
            <w:r w:rsidRPr="00D024E6">
              <w:rPr>
                <w:rFonts w:ascii="Arial" w:hAnsi="Arial" w:cs="Arial"/>
                <w:szCs w:val="20"/>
              </w:rPr>
              <w:t>Effective date</w:t>
            </w:r>
          </w:p>
        </w:tc>
        <w:tc>
          <w:tcPr>
            <w:tcW w:w="3287" w:type="dxa"/>
            <w:tcBorders>
              <w:top w:val="single" w:sz="8" w:space="0" w:color="auto"/>
              <w:left w:val="single" w:sz="8" w:space="0" w:color="auto"/>
              <w:bottom w:val="nil"/>
              <w:right w:val="nil"/>
            </w:tcBorders>
            <w:shd w:val="clear" w:color="auto" w:fill="D9D9D9"/>
          </w:tcPr>
          <w:p w14:paraId="50CFE7E3" w14:textId="7F167DDB" w:rsidR="00AA17EC" w:rsidRPr="00D024E6" w:rsidRDefault="0090491A" w:rsidP="003743A1">
            <w:pPr>
              <w:pStyle w:val="HeadingLv2"/>
            </w:pPr>
            <w:r>
              <w:rPr>
                <w:lang w:val="de-DE"/>
              </w:rPr>
              <w:t>01-Nov-</w:t>
            </w:r>
            <w:r w:rsidR="00CD79A8">
              <w:rPr>
                <w:lang w:val="de-DE"/>
              </w:rPr>
              <w:t>202</w:t>
            </w:r>
            <w:r w:rsidR="00957E29">
              <w:rPr>
                <w:lang w:val="de-DE"/>
              </w:rPr>
              <w:t>2</w:t>
            </w:r>
          </w:p>
        </w:tc>
      </w:tr>
    </w:tbl>
    <w:p w14:paraId="3B41D6D8" w14:textId="77777777" w:rsidR="00AA17EC" w:rsidRPr="00855E7C" w:rsidRDefault="00AA17EC" w:rsidP="00892FBC">
      <w:pPr>
        <w:rPr>
          <w:rFonts w:cs="Arial"/>
        </w:rPr>
      </w:pPr>
    </w:p>
    <w:p w14:paraId="67DBE572" w14:textId="77777777" w:rsidR="00AA17EC" w:rsidRPr="00855E7C" w:rsidRDefault="00AA17EC" w:rsidP="00892FBC">
      <w:pPr>
        <w:rPr>
          <w:rFonts w:cs="Arial"/>
        </w:rPr>
      </w:pPr>
    </w:p>
    <w:p w14:paraId="79FE4377" w14:textId="77777777" w:rsidR="00AA17EC" w:rsidRPr="00855E7C" w:rsidRDefault="00AA17EC" w:rsidP="00892FBC">
      <w:pPr>
        <w:rPr>
          <w:rFonts w:cs="Arial"/>
        </w:rPr>
      </w:pPr>
    </w:p>
    <w:p w14:paraId="2A6F3281" w14:textId="77777777" w:rsidR="002F03E4" w:rsidRPr="00855E7C" w:rsidRDefault="002F03E4" w:rsidP="00612FEB">
      <w:pPr>
        <w:pStyle w:val="NormalH"/>
      </w:pPr>
      <w:r w:rsidRPr="00855E7C">
        <w:lastRenderedPageBreak/>
        <w:t>Table of content</w:t>
      </w:r>
    </w:p>
    <w:p w14:paraId="20EF818E" w14:textId="7937B7E1" w:rsidR="005A4E7A" w:rsidRPr="00B1622D" w:rsidRDefault="00612FEB">
      <w:pPr>
        <w:pStyle w:val="TOC1"/>
        <w:rPr>
          <w:rFonts w:asciiTheme="minorHAnsi" w:eastAsiaTheme="minorEastAsia" w:hAnsiTheme="minorHAnsi" w:cstheme="minorBidi"/>
          <w:noProof/>
          <w:sz w:val="24"/>
          <w:szCs w:val="24"/>
        </w:rPr>
      </w:pPr>
      <w:r>
        <w:rPr>
          <w:rFonts w:cs="Arial"/>
        </w:rPr>
        <w:fldChar w:fldCharType="begin"/>
      </w:r>
      <w:r>
        <w:rPr>
          <w:rFonts w:cs="Arial"/>
        </w:rPr>
        <w:instrText xml:space="preserve"> TOC \o "1-2" \h \z \u </w:instrText>
      </w:r>
      <w:r>
        <w:rPr>
          <w:rFonts w:cs="Arial"/>
        </w:rPr>
        <w:fldChar w:fldCharType="separate"/>
      </w:r>
      <w:hyperlink w:anchor="_Toc117593892" w:history="1">
        <w:r w:rsidR="005A4E7A" w:rsidRPr="00B1622D">
          <w:rPr>
            <w:rStyle w:val="Hyperlink"/>
            <w:rFonts w:cs="Arial"/>
            <w:noProof/>
          </w:rPr>
          <w:t>1</w:t>
        </w:r>
        <w:r w:rsidR="005A4E7A" w:rsidRPr="00B1622D">
          <w:rPr>
            <w:rFonts w:asciiTheme="minorHAnsi" w:eastAsiaTheme="minorEastAsia" w:hAnsiTheme="minorHAnsi" w:cstheme="minorBidi"/>
            <w:noProof/>
            <w:sz w:val="24"/>
            <w:szCs w:val="24"/>
          </w:rPr>
          <w:tab/>
        </w:r>
        <w:r w:rsidR="005A4E7A" w:rsidRPr="00B1622D">
          <w:rPr>
            <w:rStyle w:val="Hyperlink"/>
            <w:rFonts w:cs="Arial"/>
            <w:noProof/>
          </w:rPr>
          <w:t>INTRODUCTION</w:t>
        </w:r>
        <w:r w:rsidR="005A4E7A" w:rsidRPr="00B1622D">
          <w:rPr>
            <w:noProof/>
            <w:webHidden/>
          </w:rPr>
          <w:tab/>
        </w:r>
        <w:r w:rsidR="005A4E7A" w:rsidRPr="00B1622D">
          <w:rPr>
            <w:noProof/>
            <w:webHidden/>
          </w:rPr>
          <w:fldChar w:fldCharType="begin"/>
        </w:r>
        <w:r w:rsidR="005A4E7A" w:rsidRPr="00B1622D">
          <w:rPr>
            <w:noProof/>
            <w:webHidden/>
          </w:rPr>
          <w:instrText xml:space="preserve"> PAGEREF _Toc117593892 \h </w:instrText>
        </w:r>
        <w:r w:rsidR="005A4E7A" w:rsidRPr="00B1622D">
          <w:rPr>
            <w:noProof/>
            <w:webHidden/>
          </w:rPr>
        </w:r>
        <w:r w:rsidR="005A4E7A" w:rsidRPr="00B1622D">
          <w:rPr>
            <w:noProof/>
            <w:webHidden/>
          </w:rPr>
          <w:fldChar w:fldCharType="separate"/>
        </w:r>
        <w:r w:rsidR="005A4E7A" w:rsidRPr="00B1622D">
          <w:rPr>
            <w:noProof/>
            <w:webHidden/>
          </w:rPr>
          <w:t>5</w:t>
        </w:r>
        <w:r w:rsidR="005A4E7A" w:rsidRPr="00B1622D">
          <w:rPr>
            <w:noProof/>
            <w:webHidden/>
          </w:rPr>
          <w:fldChar w:fldCharType="end"/>
        </w:r>
      </w:hyperlink>
    </w:p>
    <w:p w14:paraId="1F49E1BB" w14:textId="3A6124DB" w:rsidR="005A4E7A" w:rsidRPr="00B1622D" w:rsidRDefault="00760AB0" w:rsidP="00B1622D">
      <w:pPr>
        <w:pStyle w:val="TOC2"/>
        <w:rPr>
          <w:rFonts w:asciiTheme="minorHAnsi" w:eastAsiaTheme="minorEastAsia" w:hAnsiTheme="minorHAnsi" w:cstheme="minorBidi"/>
          <w:i w:val="0"/>
          <w:sz w:val="24"/>
          <w:szCs w:val="24"/>
        </w:rPr>
      </w:pPr>
      <w:hyperlink w:anchor="_Toc117593893" w:history="1">
        <w:r w:rsidR="005A4E7A" w:rsidRPr="00B1622D">
          <w:rPr>
            <w:rStyle w:val="Hyperlink"/>
            <w:rFonts w:cs="Arial"/>
            <w:i w:val="0"/>
          </w:rPr>
          <w:t>1.1</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Purpose</w:t>
        </w:r>
        <w:r w:rsidR="00B1622D">
          <w:rPr>
            <w:i w:val="0"/>
            <w:webHidden/>
          </w:rPr>
          <w:t>………………………………………………………………………………………………….</w:t>
        </w:r>
        <w:r w:rsidR="005A4E7A" w:rsidRPr="00B1622D">
          <w:rPr>
            <w:i w:val="0"/>
            <w:webHidden/>
          </w:rPr>
          <w:fldChar w:fldCharType="begin"/>
        </w:r>
        <w:r w:rsidR="005A4E7A" w:rsidRPr="00B1622D">
          <w:rPr>
            <w:i w:val="0"/>
            <w:webHidden/>
          </w:rPr>
          <w:instrText xml:space="preserve"> PAGEREF _Toc117593893 \h </w:instrText>
        </w:r>
        <w:r w:rsidR="005A4E7A" w:rsidRPr="00B1622D">
          <w:rPr>
            <w:i w:val="0"/>
            <w:webHidden/>
          </w:rPr>
        </w:r>
        <w:r w:rsidR="005A4E7A" w:rsidRPr="00B1622D">
          <w:rPr>
            <w:i w:val="0"/>
            <w:webHidden/>
          </w:rPr>
          <w:fldChar w:fldCharType="separate"/>
        </w:r>
        <w:r w:rsidR="005A4E7A" w:rsidRPr="00B1622D">
          <w:rPr>
            <w:i w:val="0"/>
            <w:webHidden/>
          </w:rPr>
          <w:t>5</w:t>
        </w:r>
        <w:r w:rsidR="005A4E7A" w:rsidRPr="00B1622D">
          <w:rPr>
            <w:i w:val="0"/>
            <w:webHidden/>
          </w:rPr>
          <w:fldChar w:fldCharType="end"/>
        </w:r>
      </w:hyperlink>
    </w:p>
    <w:p w14:paraId="70657ECC" w14:textId="0C72AD8E" w:rsidR="005A4E7A" w:rsidRPr="00B1622D" w:rsidRDefault="00760AB0" w:rsidP="00B1622D">
      <w:pPr>
        <w:pStyle w:val="TOC2"/>
        <w:rPr>
          <w:rFonts w:asciiTheme="minorHAnsi" w:eastAsiaTheme="minorEastAsia" w:hAnsiTheme="minorHAnsi" w:cstheme="minorBidi"/>
          <w:i w:val="0"/>
          <w:sz w:val="24"/>
          <w:szCs w:val="24"/>
        </w:rPr>
      </w:pPr>
      <w:hyperlink w:anchor="_Toc117593894" w:history="1">
        <w:r w:rsidR="005A4E7A" w:rsidRPr="00B1622D">
          <w:rPr>
            <w:rStyle w:val="Hyperlink"/>
            <w:rFonts w:cs="Arial"/>
            <w:i w:val="0"/>
          </w:rPr>
          <w:t>1.2</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Application Scope</w:t>
        </w:r>
        <w:r w:rsidR="00B1622D">
          <w:rPr>
            <w:i w:val="0"/>
            <w:webHidden/>
          </w:rPr>
          <w:t>………………………………………………………………………………………</w:t>
        </w:r>
        <w:r w:rsidR="005A4E7A" w:rsidRPr="00B1622D">
          <w:rPr>
            <w:i w:val="0"/>
            <w:webHidden/>
          </w:rPr>
          <w:fldChar w:fldCharType="begin"/>
        </w:r>
        <w:r w:rsidR="005A4E7A" w:rsidRPr="00B1622D">
          <w:rPr>
            <w:i w:val="0"/>
            <w:webHidden/>
          </w:rPr>
          <w:instrText xml:space="preserve"> PAGEREF _Toc117593894 \h </w:instrText>
        </w:r>
        <w:r w:rsidR="005A4E7A" w:rsidRPr="00B1622D">
          <w:rPr>
            <w:i w:val="0"/>
            <w:webHidden/>
          </w:rPr>
        </w:r>
        <w:r w:rsidR="005A4E7A" w:rsidRPr="00B1622D">
          <w:rPr>
            <w:i w:val="0"/>
            <w:webHidden/>
          </w:rPr>
          <w:fldChar w:fldCharType="separate"/>
        </w:r>
        <w:r w:rsidR="005A4E7A" w:rsidRPr="00B1622D">
          <w:rPr>
            <w:i w:val="0"/>
            <w:webHidden/>
          </w:rPr>
          <w:t>6</w:t>
        </w:r>
        <w:r w:rsidR="005A4E7A" w:rsidRPr="00B1622D">
          <w:rPr>
            <w:i w:val="0"/>
            <w:webHidden/>
          </w:rPr>
          <w:fldChar w:fldCharType="end"/>
        </w:r>
      </w:hyperlink>
    </w:p>
    <w:p w14:paraId="00BE5D56" w14:textId="0576EBA5" w:rsidR="005A4E7A" w:rsidRPr="00B1622D" w:rsidRDefault="00760AB0" w:rsidP="00B1622D">
      <w:pPr>
        <w:pStyle w:val="TOC2"/>
        <w:rPr>
          <w:rFonts w:asciiTheme="minorHAnsi" w:eastAsiaTheme="minorEastAsia" w:hAnsiTheme="minorHAnsi" w:cstheme="minorBidi"/>
          <w:i w:val="0"/>
          <w:sz w:val="24"/>
          <w:szCs w:val="24"/>
        </w:rPr>
      </w:pPr>
      <w:hyperlink w:anchor="_Toc117593895" w:history="1">
        <w:r w:rsidR="005A4E7A" w:rsidRPr="00B1622D">
          <w:rPr>
            <w:rStyle w:val="Hyperlink"/>
            <w:i w:val="0"/>
          </w:rPr>
          <w:t>1.3</w:t>
        </w:r>
        <w:r w:rsidR="005A4E7A" w:rsidRPr="00B1622D">
          <w:rPr>
            <w:rFonts w:asciiTheme="minorHAnsi" w:eastAsiaTheme="minorEastAsia" w:hAnsiTheme="minorHAnsi" w:cstheme="minorBidi"/>
            <w:i w:val="0"/>
            <w:sz w:val="24"/>
            <w:szCs w:val="24"/>
          </w:rPr>
          <w:tab/>
        </w:r>
        <w:r w:rsidR="005A4E7A" w:rsidRPr="00B1622D">
          <w:rPr>
            <w:rStyle w:val="Hyperlink"/>
            <w:i w:val="0"/>
          </w:rPr>
          <w:t>Application of national Laws</w:t>
        </w:r>
        <w:r w:rsidR="00B1622D">
          <w:rPr>
            <w:i w:val="0"/>
            <w:webHidden/>
          </w:rPr>
          <w:t>…………………………………………………………………………..</w:t>
        </w:r>
        <w:r w:rsidR="005A4E7A" w:rsidRPr="00B1622D">
          <w:rPr>
            <w:i w:val="0"/>
            <w:webHidden/>
          </w:rPr>
          <w:fldChar w:fldCharType="begin"/>
        </w:r>
        <w:r w:rsidR="005A4E7A" w:rsidRPr="00B1622D">
          <w:rPr>
            <w:i w:val="0"/>
            <w:webHidden/>
          </w:rPr>
          <w:instrText xml:space="preserve"> PAGEREF _Toc117593895 \h </w:instrText>
        </w:r>
        <w:r w:rsidR="005A4E7A" w:rsidRPr="00B1622D">
          <w:rPr>
            <w:i w:val="0"/>
            <w:webHidden/>
          </w:rPr>
        </w:r>
        <w:r w:rsidR="005A4E7A" w:rsidRPr="00B1622D">
          <w:rPr>
            <w:i w:val="0"/>
            <w:webHidden/>
          </w:rPr>
          <w:fldChar w:fldCharType="separate"/>
        </w:r>
        <w:r w:rsidR="005A4E7A" w:rsidRPr="00B1622D">
          <w:rPr>
            <w:i w:val="0"/>
            <w:webHidden/>
          </w:rPr>
          <w:t>6</w:t>
        </w:r>
        <w:r w:rsidR="005A4E7A" w:rsidRPr="00B1622D">
          <w:rPr>
            <w:i w:val="0"/>
            <w:webHidden/>
          </w:rPr>
          <w:fldChar w:fldCharType="end"/>
        </w:r>
      </w:hyperlink>
    </w:p>
    <w:p w14:paraId="220F5E39" w14:textId="6271AEF0" w:rsidR="005A4E7A" w:rsidRPr="00B1622D" w:rsidRDefault="00760AB0" w:rsidP="00B1622D">
      <w:pPr>
        <w:pStyle w:val="TOC2"/>
        <w:rPr>
          <w:rFonts w:asciiTheme="minorHAnsi" w:eastAsiaTheme="minorEastAsia" w:hAnsiTheme="minorHAnsi" w:cstheme="minorBidi"/>
          <w:i w:val="0"/>
          <w:sz w:val="24"/>
          <w:szCs w:val="24"/>
        </w:rPr>
      </w:pPr>
      <w:hyperlink w:anchor="_Toc117593896" w:history="1">
        <w:r w:rsidR="005A4E7A" w:rsidRPr="00B1622D">
          <w:rPr>
            <w:rStyle w:val="Hyperlink"/>
            <w:rFonts w:cs="Arial"/>
            <w:i w:val="0"/>
          </w:rPr>
          <w:t>1.4</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Responsibility</w:t>
        </w:r>
        <w:r w:rsidR="00B1622D">
          <w:rPr>
            <w:i w:val="0"/>
            <w:webHidden/>
          </w:rPr>
          <w:t>…………………………………………………………………………………………...</w:t>
        </w:r>
        <w:r w:rsidR="005A4E7A" w:rsidRPr="00B1622D">
          <w:rPr>
            <w:i w:val="0"/>
            <w:webHidden/>
          </w:rPr>
          <w:fldChar w:fldCharType="begin"/>
        </w:r>
        <w:r w:rsidR="005A4E7A" w:rsidRPr="00B1622D">
          <w:rPr>
            <w:i w:val="0"/>
            <w:webHidden/>
          </w:rPr>
          <w:instrText xml:space="preserve"> PAGEREF _Toc117593896 \h </w:instrText>
        </w:r>
        <w:r w:rsidR="005A4E7A" w:rsidRPr="00B1622D">
          <w:rPr>
            <w:i w:val="0"/>
            <w:webHidden/>
          </w:rPr>
        </w:r>
        <w:r w:rsidR="005A4E7A" w:rsidRPr="00B1622D">
          <w:rPr>
            <w:i w:val="0"/>
            <w:webHidden/>
          </w:rPr>
          <w:fldChar w:fldCharType="separate"/>
        </w:r>
        <w:r w:rsidR="005A4E7A" w:rsidRPr="00B1622D">
          <w:rPr>
            <w:i w:val="0"/>
            <w:webHidden/>
          </w:rPr>
          <w:t>7</w:t>
        </w:r>
        <w:r w:rsidR="005A4E7A" w:rsidRPr="00B1622D">
          <w:rPr>
            <w:i w:val="0"/>
            <w:webHidden/>
          </w:rPr>
          <w:fldChar w:fldCharType="end"/>
        </w:r>
      </w:hyperlink>
    </w:p>
    <w:p w14:paraId="429E6A1A" w14:textId="77DB23A4" w:rsidR="005A4E7A" w:rsidRPr="00B1622D" w:rsidRDefault="00760AB0">
      <w:pPr>
        <w:pStyle w:val="TOC1"/>
        <w:rPr>
          <w:rFonts w:asciiTheme="minorHAnsi" w:eastAsiaTheme="minorEastAsia" w:hAnsiTheme="minorHAnsi" w:cstheme="minorBidi"/>
          <w:noProof/>
          <w:sz w:val="24"/>
          <w:szCs w:val="24"/>
        </w:rPr>
      </w:pPr>
      <w:hyperlink w:anchor="_Toc117593897" w:history="1">
        <w:r w:rsidR="005A4E7A" w:rsidRPr="00B1622D">
          <w:rPr>
            <w:rStyle w:val="Hyperlink"/>
            <w:rFonts w:cs="Arial"/>
            <w:noProof/>
          </w:rPr>
          <w:t>2</w:t>
        </w:r>
        <w:r w:rsidR="005A4E7A" w:rsidRPr="00B1622D">
          <w:rPr>
            <w:rFonts w:asciiTheme="minorHAnsi" w:eastAsiaTheme="minorEastAsia" w:hAnsiTheme="minorHAnsi" w:cstheme="minorBidi"/>
            <w:noProof/>
            <w:sz w:val="24"/>
            <w:szCs w:val="24"/>
          </w:rPr>
          <w:tab/>
        </w:r>
        <w:r w:rsidR="005A4E7A" w:rsidRPr="00B1622D">
          <w:rPr>
            <w:rStyle w:val="Hyperlink"/>
            <w:rFonts w:cs="Arial"/>
            <w:noProof/>
          </w:rPr>
          <w:t>GUIDELINE CONTENT</w:t>
        </w:r>
        <w:r w:rsidR="00B1622D">
          <w:rPr>
            <w:noProof/>
            <w:webHidden/>
          </w:rPr>
          <w:t>……………………………………………………………………………………...</w:t>
        </w:r>
        <w:r w:rsidR="005A4E7A" w:rsidRPr="00B1622D">
          <w:rPr>
            <w:noProof/>
            <w:webHidden/>
          </w:rPr>
          <w:fldChar w:fldCharType="begin"/>
        </w:r>
        <w:r w:rsidR="005A4E7A" w:rsidRPr="00B1622D">
          <w:rPr>
            <w:noProof/>
            <w:webHidden/>
          </w:rPr>
          <w:instrText xml:space="preserve"> PAGEREF _Toc117593897 \h </w:instrText>
        </w:r>
        <w:r w:rsidR="005A4E7A" w:rsidRPr="00B1622D">
          <w:rPr>
            <w:noProof/>
            <w:webHidden/>
          </w:rPr>
        </w:r>
        <w:r w:rsidR="005A4E7A" w:rsidRPr="00B1622D">
          <w:rPr>
            <w:noProof/>
            <w:webHidden/>
          </w:rPr>
          <w:fldChar w:fldCharType="separate"/>
        </w:r>
        <w:r w:rsidR="005A4E7A" w:rsidRPr="00B1622D">
          <w:rPr>
            <w:noProof/>
            <w:webHidden/>
          </w:rPr>
          <w:t>8</w:t>
        </w:r>
        <w:r w:rsidR="005A4E7A" w:rsidRPr="00B1622D">
          <w:rPr>
            <w:noProof/>
            <w:webHidden/>
          </w:rPr>
          <w:fldChar w:fldCharType="end"/>
        </w:r>
      </w:hyperlink>
    </w:p>
    <w:p w14:paraId="52595208" w14:textId="60871549" w:rsidR="005A4E7A" w:rsidRPr="00B1622D" w:rsidRDefault="00760AB0" w:rsidP="00B1622D">
      <w:pPr>
        <w:pStyle w:val="TOC2"/>
        <w:rPr>
          <w:rFonts w:asciiTheme="minorHAnsi" w:eastAsiaTheme="minorEastAsia" w:hAnsiTheme="minorHAnsi" w:cstheme="minorBidi"/>
          <w:i w:val="0"/>
          <w:sz w:val="24"/>
          <w:szCs w:val="24"/>
        </w:rPr>
      </w:pPr>
      <w:hyperlink w:anchor="_Toc117593898" w:history="1">
        <w:r w:rsidR="005A4E7A" w:rsidRPr="00B1622D">
          <w:rPr>
            <w:rStyle w:val="Hyperlink"/>
            <w:rFonts w:cs="Arial"/>
            <w:i w:val="0"/>
          </w:rPr>
          <w:t>2.1</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Information Category</w:t>
        </w:r>
        <w:r w:rsidR="00B1622D">
          <w:rPr>
            <w:i w:val="0"/>
            <w:webHidden/>
          </w:rPr>
          <w:t>…………………………………………………………………………………...</w:t>
        </w:r>
        <w:r w:rsidR="005A4E7A" w:rsidRPr="00B1622D">
          <w:rPr>
            <w:i w:val="0"/>
            <w:webHidden/>
          </w:rPr>
          <w:fldChar w:fldCharType="begin"/>
        </w:r>
        <w:r w:rsidR="005A4E7A" w:rsidRPr="00B1622D">
          <w:rPr>
            <w:i w:val="0"/>
            <w:webHidden/>
          </w:rPr>
          <w:instrText xml:space="preserve"> PAGEREF _Toc117593898 \h </w:instrText>
        </w:r>
        <w:r w:rsidR="005A4E7A" w:rsidRPr="00B1622D">
          <w:rPr>
            <w:i w:val="0"/>
            <w:webHidden/>
          </w:rPr>
        </w:r>
        <w:r w:rsidR="005A4E7A" w:rsidRPr="00B1622D">
          <w:rPr>
            <w:i w:val="0"/>
            <w:webHidden/>
          </w:rPr>
          <w:fldChar w:fldCharType="separate"/>
        </w:r>
        <w:r w:rsidR="005A4E7A" w:rsidRPr="00B1622D">
          <w:rPr>
            <w:i w:val="0"/>
            <w:webHidden/>
          </w:rPr>
          <w:t>8</w:t>
        </w:r>
        <w:r w:rsidR="005A4E7A" w:rsidRPr="00B1622D">
          <w:rPr>
            <w:i w:val="0"/>
            <w:webHidden/>
          </w:rPr>
          <w:fldChar w:fldCharType="end"/>
        </w:r>
      </w:hyperlink>
    </w:p>
    <w:p w14:paraId="47ACD253" w14:textId="0DF20228" w:rsidR="005A4E7A" w:rsidRPr="00B1622D" w:rsidRDefault="00760AB0" w:rsidP="00B1622D">
      <w:pPr>
        <w:pStyle w:val="TOC2"/>
        <w:rPr>
          <w:rFonts w:asciiTheme="minorHAnsi" w:eastAsiaTheme="minorEastAsia" w:hAnsiTheme="minorHAnsi" w:cstheme="minorBidi"/>
          <w:i w:val="0"/>
          <w:sz w:val="24"/>
          <w:szCs w:val="24"/>
        </w:rPr>
      </w:pPr>
      <w:hyperlink w:anchor="_Toc117593899" w:history="1">
        <w:r w:rsidR="005A4E7A" w:rsidRPr="00B1622D">
          <w:rPr>
            <w:rStyle w:val="Hyperlink"/>
            <w:i w:val="0"/>
          </w:rPr>
          <w:t>2.2</w:t>
        </w:r>
        <w:r w:rsidR="005A4E7A" w:rsidRPr="00B1622D">
          <w:rPr>
            <w:rFonts w:asciiTheme="minorHAnsi" w:eastAsiaTheme="minorEastAsia" w:hAnsiTheme="minorHAnsi" w:cstheme="minorBidi"/>
            <w:i w:val="0"/>
            <w:sz w:val="24"/>
            <w:szCs w:val="24"/>
          </w:rPr>
          <w:tab/>
        </w:r>
        <w:r w:rsidR="005A4E7A" w:rsidRPr="00B1622D">
          <w:rPr>
            <w:rStyle w:val="Hyperlink"/>
            <w:i w:val="0"/>
          </w:rPr>
          <w:t>Data Classification Essentials</w:t>
        </w:r>
        <w:r w:rsidR="00B1622D">
          <w:rPr>
            <w:i w:val="0"/>
            <w:webHidden/>
          </w:rPr>
          <w:t>…………………………………………………………………………</w:t>
        </w:r>
        <w:r w:rsidR="005A4E7A" w:rsidRPr="00B1622D">
          <w:rPr>
            <w:i w:val="0"/>
            <w:webHidden/>
          </w:rPr>
          <w:fldChar w:fldCharType="begin"/>
        </w:r>
        <w:r w:rsidR="005A4E7A" w:rsidRPr="00B1622D">
          <w:rPr>
            <w:i w:val="0"/>
            <w:webHidden/>
          </w:rPr>
          <w:instrText xml:space="preserve"> PAGEREF _Toc117593899 \h </w:instrText>
        </w:r>
        <w:r w:rsidR="005A4E7A" w:rsidRPr="00B1622D">
          <w:rPr>
            <w:i w:val="0"/>
            <w:webHidden/>
          </w:rPr>
        </w:r>
        <w:r w:rsidR="005A4E7A" w:rsidRPr="00B1622D">
          <w:rPr>
            <w:i w:val="0"/>
            <w:webHidden/>
          </w:rPr>
          <w:fldChar w:fldCharType="separate"/>
        </w:r>
        <w:r w:rsidR="005A4E7A" w:rsidRPr="00B1622D">
          <w:rPr>
            <w:i w:val="0"/>
            <w:webHidden/>
          </w:rPr>
          <w:t>9</w:t>
        </w:r>
        <w:r w:rsidR="005A4E7A" w:rsidRPr="00B1622D">
          <w:rPr>
            <w:i w:val="0"/>
            <w:webHidden/>
          </w:rPr>
          <w:fldChar w:fldCharType="end"/>
        </w:r>
      </w:hyperlink>
    </w:p>
    <w:p w14:paraId="4C0D96B0" w14:textId="2D767F34" w:rsidR="005A4E7A" w:rsidRPr="00B1622D" w:rsidRDefault="00760AB0" w:rsidP="00B1622D">
      <w:pPr>
        <w:pStyle w:val="TOC2"/>
        <w:rPr>
          <w:rFonts w:asciiTheme="minorHAnsi" w:eastAsiaTheme="minorEastAsia" w:hAnsiTheme="minorHAnsi" w:cstheme="minorBidi"/>
          <w:i w:val="0"/>
          <w:sz w:val="24"/>
          <w:szCs w:val="24"/>
        </w:rPr>
      </w:pPr>
      <w:hyperlink w:anchor="_Toc117593900" w:history="1">
        <w:r w:rsidR="005A4E7A" w:rsidRPr="00B1622D">
          <w:rPr>
            <w:rStyle w:val="Hyperlink"/>
            <w:rFonts w:cs="Arial"/>
            <w:i w:val="0"/>
          </w:rPr>
          <w:t>2.3</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Classification Table</w:t>
        </w:r>
        <w:r w:rsidR="00B1622D">
          <w:rPr>
            <w:i w:val="0"/>
            <w:webHidden/>
          </w:rPr>
          <w:t>……………………………………………………………………………………</w:t>
        </w:r>
        <w:r w:rsidR="005A4E7A" w:rsidRPr="00B1622D">
          <w:rPr>
            <w:i w:val="0"/>
            <w:webHidden/>
          </w:rPr>
          <w:fldChar w:fldCharType="begin"/>
        </w:r>
        <w:r w:rsidR="005A4E7A" w:rsidRPr="00B1622D">
          <w:rPr>
            <w:i w:val="0"/>
            <w:webHidden/>
          </w:rPr>
          <w:instrText xml:space="preserve"> PAGEREF _Toc117593900 \h </w:instrText>
        </w:r>
        <w:r w:rsidR="005A4E7A" w:rsidRPr="00B1622D">
          <w:rPr>
            <w:i w:val="0"/>
            <w:webHidden/>
          </w:rPr>
        </w:r>
        <w:r w:rsidR="005A4E7A" w:rsidRPr="00B1622D">
          <w:rPr>
            <w:i w:val="0"/>
            <w:webHidden/>
          </w:rPr>
          <w:fldChar w:fldCharType="separate"/>
        </w:r>
        <w:r w:rsidR="005A4E7A" w:rsidRPr="00B1622D">
          <w:rPr>
            <w:i w:val="0"/>
            <w:webHidden/>
          </w:rPr>
          <w:t>10</w:t>
        </w:r>
        <w:r w:rsidR="005A4E7A" w:rsidRPr="00B1622D">
          <w:rPr>
            <w:i w:val="0"/>
            <w:webHidden/>
          </w:rPr>
          <w:fldChar w:fldCharType="end"/>
        </w:r>
      </w:hyperlink>
    </w:p>
    <w:p w14:paraId="405AC44A" w14:textId="41294070" w:rsidR="005A4E7A" w:rsidRPr="00B1622D" w:rsidRDefault="00760AB0" w:rsidP="00B1622D">
      <w:pPr>
        <w:pStyle w:val="TOC2"/>
        <w:rPr>
          <w:rFonts w:asciiTheme="minorHAnsi" w:eastAsiaTheme="minorEastAsia" w:hAnsiTheme="minorHAnsi" w:cstheme="minorBidi"/>
          <w:i w:val="0"/>
          <w:sz w:val="24"/>
          <w:szCs w:val="24"/>
        </w:rPr>
      </w:pPr>
      <w:hyperlink w:anchor="_Toc117593901" w:history="1">
        <w:r w:rsidR="005A4E7A" w:rsidRPr="00B1622D">
          <w:rPr>
            <w:rStyle w:val="Hyperlink"/>
            <w:rFonts w:cs="Arial"/>
            <w:i w:val="0"/>
          </w:rPr>
          <w:t>2.4</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Information Degrade</w:t>
        </w:r>
        <w:r w:rsidR="00B1622D">
          <w:rPr>
            <w:i w:val="0"/>
            <w:webHidden/>
          </w:rPr>
          <w:t>…………………………………………………………………………………..</w:t>
        </w:r>
        <w:r w:rsidR="005A4E7A" w:rsidRPr="00B1622D">
          <w:rPr>
            <w:i w:val="0"/>
            <w:webHidden/>
          </w:rPr>
          <w:fldChar w:fldCharType="begin"/>
        </w:r>
        <w:r w:rsidR="005A4E7A" w:rsidRPr="00B1622D">
          <w:rPr>
            <w:i w:val="0"/>
            <w:webHidden/>
          </w:rPr>
          <w:instrText xml:space="preserve"> PAGEREF _Toc117593901 \h </w:instrText>
        </w:r>
        <w:r w:rsidR="005A4E7A" w:rsidRPr="00B1622D">
          <w:rPr>
            <w:i w:val="0"/>
            <w:webHidden/>
          </w:rPr>
        </w:r>
        <w:r w:rsidR="005A4E7A" w:rsidRPr="00B1622D">
          <w:rPr>
            <w:i w:val="0"/>
            <w:webHidden/>
          </w:rPr>
          <w:fldChar w:fldCharType="separate"/>
        </w:r>
        <w:r w:rsidR="005A4E7A" w:rsidRPr="00B1622D">
          <w:rPr>
            <w:i w:val="0"/>
            <w:webHidden/>
          </w:rPr>
          <w:t>15</w:t>
        </w:r>
        <w:r w:rsidR="005A4E7A" w:rsidRPr="00B1622D">
          <w:rPr>
            <w:i w:val="0"/>
            <w:webHidden/>
          </w:rPr>
          <w:fldChar w:fldCharType="end"/>
        </w:r>
      </w:hyperlink>
    </w:p>
    <w:p w14:paraId="7529295D" w14:textId="0EC50F5B" w:rsidR="005A4E7A" w:rsidRPr="00B1622D" w:rsidRDefault="00760AB0">
      <w:pPr>
        <w:pStyle w:val="TOC1"/>
        <w:rPr>
          <w:rFonts w:asciiTheme="minorHAnsi" w:eastAsiaTheme="minorEastAsia" w:hAnsiTheme="minorHAnsi" w:cstheme="minorBidi"/>
          <w:noProof/>
          <w:sz w:val="24"/>
          <w:szCs w:val="24"/>
        </w:rPr>
      </w:pPr>
      <w:hyperlink w:anchor="_Toc117593902" w:history="1">
        <w:r w:rsidR="005A4E7A" w:rsidRPr="00B1622D">
          <w:rPr>
            <w:rStyle w:val="Hyperlink"/>
            <w:rFonts w:cs="Arial"/>
            <w:noProof/>
          </w:rPr>
          <w:t>3</w:t>
        </w:r>
        <w:r w:rsidR="005A4E7A" w:rsidRPr="00B1622D">
          <w:rPr>
            <w:rFonts w:asciiTheme="minorHAnsi" w:eastAsiaTheme="minorEastAsia" w:hAnsiTheme="minorHAnsi" w:cstheme="minorBidi"/>
            <w:noProof/>
            <w:sz w:val="24"/>
            <w:szCs w:val="24"/>
          </w:rPr>
          <w:tab/>
        </w:r>
        <w:r w:rsidR="005A4E7A" w:rsidRPr="00B1622D">
          <w:rPr>
            <w:rStyle w:val="Hyperlink"/>
            <w:rFonts w:cs="Arial"/>
            <w:noProof/>
          </w:rPr>
          <w:t>APPENDIXES</w:t>
        </w:r>
        <w:r w:rsidR="00B1622D">
          <w:rPr>
            <w:noProof/>
            <w:webHidden/>
          </w:rPr>
          <w:t>………………………………………………………………………………………………..</w:t>
        </w:r>
        <w:r w:rsidR="005A4E7A" w:rsidRPr="00B1622D">
          <w:rPr>
            <w:noProof/>
            <w:webHidden/>
          </w:rPr>
          <w:fldChar w:fldCharType="begin"/>
        </w:r>
        <w:r w:rsidR="005A4E7A" w:rsidRPr="00B1622D">
          <w:rPr>
            <w:noProof/>
            <w:webHidden/>
          </w:rPr>
          <w:instrText xml:space="preserve"> PAGEREF _Toc117593902 \h </w:instrText>
        </w:r>
        <w:r w:rsidR="005A4E7A" w:rsidRPr="00B1622D">
          <w:rPr>
            <w:noProof/>
            <w:webHidden/>
          </w:rPr>
        </w:r>
        <w:r w:rsidR="005A4E7A" w:rsidRPr="00B1622D">
          <w:rPr>
            <w:noProof/>
            <w:webHidden/>
          </w:rPr>
          <w:fldChar w:fldCharType="separate"/>
        </w:r>
        <w:r w:rsidR="005A4E7A" w:rsidRPr="00B1622D">
          <w:rPr>
            <w:noProof/>
            <w:webHidden/>
          </w:rPr>
          <w:t>16</w:t>
        </w:r>
        <w:r w:rsidR="005A4E7A" w:rsidRPr="00B1622D">
          <w:rPr>
            <w:noProof/>
            <w:webHidden/>
          </w:rPr>
          <w:fldChar w:fldCharType="end"/>
        </w:r>
      </w:hyperlink>
    </w:p>
    <w:p w14:paraId="4724D6DC" w14:textId="476C966B" w:rsidR="005A4E7A" w:rsidRPr="00B1622D" w:rsidRDefault="00760AB0" w:rsidP="00B1622D">
      <w:pPr>
        <w:pStyle w:val="TOC2"/>
        <w:rPr>
          <w:rFonts w:asciiTheme="minorHAnsi" w:eastAsiaTheme="minorEastAsia" w:hAnsiTheme="minorHAnsi" w:cstheme="minorBidi"/>
          <w:i w:val="0"/>
          <w:sz w:val="24"/>
          <w:szCs w:val="24"/>
        </w:rPr>
      </w:pPr>
      <w:hyperlink w:anchor="_Toc117593903" w:history="1">
        <w:r w:rsidR="005A4E7A" w:rsidRPr="00B1622D">
          <w:rPr>
            <w:rStyle w:val="Hyperlink"/>
            <w:rFonts w:cs="Arial"/>
            <w:i w:val="0"/>
          </w:rPr>
          <w:t>3.1</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Definition</w:t>
        </w:r>
        <w:r w:rsidR="00B1622D">
          <w:rPr>
            <w:i w:val="0"/>
            <w:webHidden/>
          </w:rPr>
          <w:t>………………………………………………………………………………………………..</w:t>
        </w:r>
        <w:r w:rsidR="005A4E7A" w:rsidRPr="00B1622D">
          <w:rPr>
            <w:i w:val="0"/>
            <w:webHidden/>
          </w:rPr>
          <w:fldChar w:fldCharType="begin"/>
        </w:r>
        <w:r w:rsidR="005A4E7A" w:rsidRPr="00B1622D">
          <w:rPr>
            <w:i w:val="0"/>
            <w:webHidden/>
          </w:rPr>
          <w:instrText xml:space="preserve"> PAGEREF _Toc117593903 \h </w:instrText>
        </w:r>
        <w:r w:rsidR="005A4E7A" w:rsidRPr="00B1622D">
          <w:rPr>
            <w:i w:val="0"/>
            <w:webHidden/>
          </w:rPr>
        </w:r>
        <w:r w:rsidR="005A4E7A" w:rsidRPr="00B1622D">
          <w:rPr>
            <w:i w:val="0"/>
            <w:webHidden/>
          </w:rPr>
          <w:fldChar w:fldCharType="separate"/>
        </w:r>
        <w:r w:rsidR="005A4E7A" w:rsidRPr="00B1622D">
          <w:rPr>
            <w:i w:val="0"/>
            <w:webHidden/>
          </w:rPr>
          <w:t>16</w:t>
        </w:r>
        <w:r w:rsidR="005A4E7A" w:rsidRPr="00B1622D">
          <w:rPr>
            <w:i w:val="0"/>
            <w:webHidden/>
          </w:rPr>
          <w:fldChar w:fldCharType="end"/>
        </w:r>
      </w:hyperlink>
    </w:p>
    <w:p w14:paraId="6B539C59" w14:textId="067BACC4" w:rsidR="005A4E7A" w:rsidRPr="00B1622D" w:rsidRDefault="00760AB0" w:rsidP="00B1622D">
      <w:pPr>
        <w:pStyle w:val="TOC2"/>
        <w:rPr>
          <w:rFonts w:asciiTheme="minorHAnsi" w:eastAsiaTheme="minorEastAsia" w:hAnsiTheme="minorHAnsi" w:cstheme="minorBidi"/>
          <w:i w:val="0"/>
          <w:sz w:val="24"/>
          <w:szCs w:val="24"/>
        </w:rPr>
      </w:pPr>
      <w:hyperlink w:anchor="_Toc117593904" w:history="1">
        <w:r w:rsidR="005A4E7A" w:rsidRPr="00B1622D">
          <w:rPr>
            <w:rStyle w:val="Hyperlink"/>
            <w:rFonts w:cs="Arial"/>
            <w:i w:val="0"/>
          </w:rPr>
          <w:t>3.2</w:t>
        </w:r>
        <w:r w:rsidR="005A4E7A" w:rsidRPr="00B1622D">
          <w:rPr>
            <w:rFonts w:asciiTheme="minorHAnsi" w:eastAsiaTheme="minorEastAsia" w:hAnsiTheme="minorHAnsi" w:cstheme="minorBidi"/>
            <w:i w:val="0"/>
            <w:sz w:val="24"/>
            <w:szCs w:val="24"/>
          </w:rPr>
          <w:tab/>
        </w:r>
        <w:r w:rsidR="005A4E7A" w:rsidRPr="00B1622D">
          <w:rPr>
            <w:rStyle w:val="Hyperlink"/>
            <w:rFonts w:cs="Arial"/>
            <w:i w:val="0"/>
          </w:rPr>
          <w:t>Related Documents</w:t>
        </w:r>
        <w:r w:rsidR="00B1622D">
          <w:rPr>
            <w:i w:val="0"/>
            <w:webHidden/>
          </w:rPr>
          <w:t>……………………………………………………………………………………</w:t>
        </w:r>
        <w:r w:rsidR="005A4E7A" w:rsidRPr="00B1622D">
          <w:rPr>
            <w:i w:val="0"/>
            <w:webHidden/>
          </w:rPr>
          <w:fldChar w:fldCharType="begin"/>
        </w:r>
        <w:r w:rsidR="005A4E7A" w:rsidRPr="00B1622D">
          <w:rPr>
            <w:i w:val="0"/>
            <w:webHidden/>
          </w:rPr>
          <w:instrText xml:space="preserve"> PAGEREF _Toc117593904 \h </w:instrText>
        </w:r>
        <w:r w:rsidR="005A4E7A" w:rsidRPr="00B1622D">
          <w:rPr>
            <w:i w:val="0"/>
            <w:webHidden/>
          </w:rPr>
        </w:r>
        <w:r w:rsidR="005A4E7A" w:rsidRPr="00B1622D">
          <w:rPr>
            <w:i w:val="0"/>
            <w:webHidden/>
          </w:rPr>
          <w:fldChar w:fldCharType="separate"/>
        </w:r>
        <w:r w:rsidR="005A4E7A" w:rsidRPr="00B1622D">
          <w:rPr>
            <w:i w:val="0"/>
            <w:webHidden/>
          </w:rPr>
          <w:t>18</w:t>
        </w:r>
        <w:r w:rsidR="005A4E7A" w:rsidRPr="00B1622D">
          <w:rPr>
            <w:i w:val="0"/>
            <w:webHidden/>
          </w:rPr>
          <w:fldChar w:fldCharType="end"/>
        </w:r>
      </w:hyperlink>
    </w:p>
    <w:p w14:paraId="01A1E7CA" w14:textId="3BBA2793" w:rsidR="005A4E7A" w:rsidRPr="00B1622D" w:rsidRDefault="00760AB0" w:rsidP="00B1622D">
      <w:pPr>
        <w:pStyle w:val="TOC2"/>
        <w:rPr>
          <w:rFonts w:asciiTheme="minorHAnsi" w:eastAsiaTheme="minorEastAsia" w:hAnsiTheme="minorHAnsi" w:cstheme="minorBidi"/>
          <w:i w:val="0"/>
          <w:sz w:val="24"/>
          <w:szCs w:val="24"/>
        </w:rPr>
      </w:pPr>
      <w:hyperlink w:anchor="_Toc117593905" w:history="1">
        <w:r w:rsidR="005A4E7A" w:rsidRPr="00B1622D">
          <w:rPr>
            <w:rStyle w:val="Hyperlink"/>
            <w:i w:val="0"/>
          </w:rPr>
          <w:t>3.3</w:t>
        </w:r>
        <w:r w:rsidR="005A4E7A" w:rsidRPr="00B1622D">
          <w:rPr>
            <w:rFonts w:asciiTheme="minorHAnsi" w:eastAsiaTheme="minorEastAsia" w:hAnsiTheme="minorHAnsi" w:cstheme="minorBidi"/>
            <w:i w:val="0"/>
            <w:sz w:val="24"/>
            <w:szCs w:val="24"/>
          </w:rPr>
          <w:tab/>
        </w:r>
        <w:r w:rsidR="005A4E7A" w:rsidRPr="00B1622D">
          <w:rPr>
            <w:rStyle w:val="Hyperlink"/>
            <w:i w:val="0"/>
          </w:rPr>
          <w:t>Data Protection Law, Vietnam, Overview</w:t>
        </w:r>
        <w:r w:rsidR="00B1622D">
          <w:rPr>
            <w:i w:val="0"/>
            <w:webHidden/>
          </w:rPr>
          <w:t>……………………………………………………………</w:t>
        </w:r>
        <w:r w:rsidR="005A4E7A" w:rsidRPr="00B1622D">
          <w:rPr>
            <w:i w:val="0"/>
            <w:webHidden/>
          </w:rPr>
          <w:fldChar w:fldCharType="begin"/>
        </w:r>
        <w:r w:rsidR="005A4E7A" w:rsidRPr="00B1622D">
          <w:rPr>
            <w:i w:val="0"/>
            <w:webHidden/>
          </w:rPr>
          <w:instrText xml:space="preserve"> PAGEREF _Toc117593905 \h </w:instrText>
        </w:r>
        <w:r w:rsidR="005A4E7A" w:rsidRPr="00B1622D">
          <w:rPr>
            <w:i w:val="0"/>
            <w:webHidden/>
          </w:rPr>
        </w:r>
        <w:r w:rsidR="005A4E7A" w:rsidRPr="00B1622D">
          <w:rPr>
            <w:i w:val="0"/>
            <w:webHidden/>
          </w:rPr>
          <w:fldChar w:fldCharType="separate"/>
        </w:r>
        <w:r w:rsidR="005A4E7A" w:rsidRPr="00B1622D">
          <w:rPr>
            <w:i w:val="0"/>
            <w:webHidden/>
          </w:rPr>
          <w:t>19</w:t>
        </w:r>
        <w:r w:rsidR="005A4E7A" w:rsidRPr="00B1622D">
          <w:rPr>
            <w:i w:val="0"/>
            <w:webHidden/>
          </w:rPr>
          <w:fldChar w:fldCharType="end"/>
        </w:r>
      </w:hyperlink>
    </w:p>
    <w:p w14:paraId="3B45E1C3" w14:textId="6C6DB844" w:rsidR="005A4E7A" w:rsidRPr="00B1622D" w:rsidRDefault="00760AB0" w:rsidP="00B1622D">
      <w:pPr>
        <w:pStyle w:val="TOC2"/>
        <w:rPr>
          <w:rFonts w:asciiTheme="minorHAnsi" w:eastAsiaTheme="minorEastAsia" w:hAnsiTheme="minorHAnsi" w:cstheme="minorBidi"/>
          <w:i w:val="0"/>
          <w:sz w:val="24"/>
          <w:szCs w:val="24"/>
        </w:rPr>
      </w:pPr>
      <w:hyperlink w:anchor="_Toc117593906" w:history="1">
        <w:r w:rsidR="005A4E7A" w:rsidRPr="00B1622D">
          <w:rPr>
            <w:rStyle w:val="Hyperlink"/>
            <w:i w:val="0"/>
          </w:rPr>
          <w:t>3.4</w:t>
        </w:r>
        <w:r w:rsidR="005A4E7A" w:rsidRPr="00B1622D">
          <w:rPr>
            <w:rFonts w:asciiTheme="minorHAnsi" w:eastAsiaTheme="minorEastAsia" w:hAnsiTheme="minorHAnsi" w:cstheme="minorBidi"/>
            <w:i w:val="0"/>
            <w:sz w:val="24"/>
            <w:szCs w:val="24"/>
          </w:rPr>
          <w:tab/>
        </w:r>
        <w:r w:rsidR="005A4E7A" w:rsidRPr="00B1622D">
          <w:rPr>
            <w:rStyle w:val="Hyperlink"/>
            <w:i w:val="0"/>
          </w:rPr>
          <w:t>Example PII</w:t>
        </w:r>
        <w:r w:rsidR="00B1622D">
          <w:rPr>
            <w:rStyle w:val="Hyperlink"/>
            <w:i w:val="0"/>
          </w:rPr>
          <w:t>……………………………………………………………………………………………..</w:t>
        </w:r>
        <w:r w:rsidR="005A4E7A" w:rsidRPr="00B1622D">
          <w:rPr>
            <w:i w:val="0"/>
            <w:webHidden/>
          </w:rPr>
          <w:fldChar w:fldCharType="begin"/>
        </w:r>
        <w:r w:rsidR="005A4E7A" w:rsidRPr="00B1622D">
          <w:rPr>
            <w:i w:val="0"/>
            <w:webHidden/>
          </w:rPr>
          <w:instrText xml:space="preserve"> PAGEREF _Toc117593906 \h </w:instrText>
        </w:r>
        <w:r w:rsidR="005A4E7A" w:rsidRPr="00B1622D">
          <w:rPr>
            <w:i w:val="0"/>
            <w:webHidden/>
          </w:rPr>
        </w:r>
        <w:r w:rsidR="005A4E7A" w:rsidRPr="00B1622D">
          <w:rPr>
            <w:i w:val="0"/>
            <w:webHidden/>
          </w:rPr>
          <w:fldChar w:fldCharType="separate"/>
        </w:r>
        <w:r w:rsidR="005A4E7A" w:rsidRPr="00B1622D">
          <w:rPr>
            <w:i w:val="0"/>
            <w:webHidden/>
          </w:rPr>
          <w:t>22</w:t>
        </w:r>
        <w:r w:rsidR="005A4E7A" w:rsidRPr="00B1622D">
          <w:rPr>
            <w:i w:val="0"/>
            <w:webHidden/>
          </w:rPr>
          <w:fldChar w:fldCharType="end"/>
        </w:r>
      </w:hyperlink>
    </w:p>
    <w:p w14:paraId="3D835402" w14:textId="02F2C438" w:rsidR="002F03E4" w:rsidRPr="00855E7C" w:rsidRDefault="00612FEB" w:rsidP="00855E7C">
      <w:pPr>
        <w:tabs>
          <w:tab w:val="right" w:leader="dot" w:pos="9000"/>
        </w:tabs>
        <w:rPr>
          <w:rFonts w:cs="Arial"/>
        </w:rPr>
      </w:pPr>
      <w:r>
        <w:rPr>
          <w:rFonts w:cs="Arial"/>
        </w:rPr>
        <w:fldChar w:fldCharType="end"/>
      </w:r>
    </w:p>
    <w:p w14:paraId="723A9BA7" w14:textId="77777777" w:rsidR="008629FB" w:rsidRPr="00855E7C" w:rsidRDefault="008629FB" w:rsidP="00612FEB">
      <w:pPr>
        <w:pStyle w:val="NormalH"/>
      </w:pPr>
      <w:r w:rsidRPr="00855E7C">
        <w:lastRenderedPageBreak/>
        <w:t>RECORD OF CHANGE</w:t>
      </w:r>
    </w:p>
    <w:tbl>
      <w:tblPr>
        <w:tblW w:w="10349"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0" w:type="dxa"/>
          <w:right w:w="80" w:type="dxa"/>
        </w:tblCellMar>
        <w:tblLook w:val="0000" w:firstRow="0" w:lastRow="0" w:firstColumn="0" w:lastColumn="0" w:noHBand="0" w:noVBand="0"/>
      </w:tblPr>
      <w:tblGrid>
        <w:gridCol w:w="474"/>
        <w:gridCol w:w="1517"/>
        <w:gridCol w:w="1043"/>
        <w:gridCol w:w="2104"/>
        <w:gridCol w:w="1493"/>
        <w:gridCol w:w="1195"/>
        <w:gridCol w:w="1531"/>
        <w:gridCol w:w="992"/>
      </w:tblGrid>
      <w:tr w:rsidR="004455E9" w:rsidRPr="00E332E7" w14:paraId="3F387B42" w14:textId="77777777" w:rsidTr="00772A50">
        <w:trPr>
          <w:trHeight w:val="618"/>
          <w:tblHeader/>
        </w:trPr>
        <w:tc>
          <w:tcPr>
            <w:tcW w:w="474" w:type="dxa"/>
            <w:shd w:val="clear" w:color="auto" w:fill="D9D9D9"/>
            <w:vAlign w:val="center"/>
          </w:tcPr>
          <w:p w14:paraId="4D724815" w14:textId="77777777" w:rsidR="004455E9" w:rsidRPr="00E332E7" w:rsidRDefault="004455E9" w:rsidP="00772A50">
            <w:pPr>
              <w:pStyle w:val="Bangheader"/>
              <w:spacing w:before="0" w:after="0" w:line="276" w:lineRule="auto"/>
              <w:rPr>
                <w:spacing w:val="0"/>
              </w:rPr>
            </w:pPr>
            <w:r w:rsidRPr="00E332E7">
              <w:rPr>
                <w:spacing w:val="0"/>
              </w:rPr>
              <w:t>No</w:t>
            </w:r>
          </w:p>
        </w:tc>
        <w:tc>
          <w:tcPr>
            <w:tcW w:w="1517" w:type="dxa"/>
            <w:shd w:val="clear" w:color="auto" w:fill="D9D9D9"/>
            <w:vAlign w:val="center"/>
          </w:tcPr>
          <w:p w14:paraId="3444358E" w14:textId="77777777" w:rsidR="004455E9" w:rsidRPr="00E332E7" w:rsidRDefault="004455E9" w:rsidP="00772A50">
            <w:pPr>
              <w:pStyle w:val="Bangheader"/>
              <w:spacing w:before="0" w:after="0" w:line="276" w:lineRule="auto"/>
              <w:rPr>
                <w:spacing w:val="0"/>
              </w:rPr>
            </w:pPr>
            <w:r w:rsidRPr="00E332E7">
              <w:rPr>
                <w:spacing w:val="0"/>
              </w:rPr>
              <w:t>Effective Date</w:t>
            </w:r>
          </w:p>
        </w:tc>
        <w:tc>
          <w:tcPr>
            <w:tcW w:w="1043" w:type="dxa"/>
            <w:shd w:val="clear" w:color="auto" w:fill="D9D9D9"/>
            <w:vAlign w:val="center"/>
          </w:tcPr>
          <w:p w14:paraId="37C75FF4" w14:textId="77777777" w:rsidR="004455E9" w:rsidRPr="00E332E7" w:rsidRDefault="004455E9" w:rsidP="00772A50">
            <w:pPr>
              <w:pStyle w:val="Bangheader"/>
              <w:spacing w:before="0" w:after="0" w:line="276" w:lineRule="auto"/>
              <w:rPr>
                <w:spacing w:val="0"/>
              </w:rPr>
            </w:pPr>
            <w:r w:rsidRPr="00E332E7">
              <w:rPr>
                <w:spacing w:val="0"/>
              </w:rPr>
              <w:t>Version</w:t>
            </w:r>
          </w:p>
        </w:tc>
        <w:tc>
          <w:tcPr>
            <w:tcW w:w="2104" w:type="dxa"/>
            <w:shd w:val="clear" w:color="auto" w:fill="D9D9D9"/>
            <w:vAlign w:val="center"/>
          </w:tcPr>
          <w:p w14:paraId="76B8E589" w14:textId="77777777" w:rsidR="004455E9" w:rsidRPr="00E332E7" w:rsidRDefault="004455E9" w:rsidP="00772A50">
            <w:pPr>
              <w:pStyle w:val="Bangheader"/>
              <w:spacing w:before="0" w:after="0" w:line="276" w:lineRule="auto"/>
              <w:rPr>
                <w:spacing w:val="0"/>
              </w:rPr>
            </w:pPr>
            <w:r w:rsidRPr="00E332E7">
              <w:rPr>
                <w:spacing w:val="0"/>
              </w:rPr>
              <w:t>Change Description</w:t>
            </w:r>
          </w:p>
        </w:tc>
        <w:tc>
          <w:tcPr>
            <w:tcW w:w="1493" w:type="dxa"/>
            <w:shd w:val="clear" w:color="auto" w:fill="D9D9D9"/>
            <w:vAlign w:val="center"/>
          </w:tcPr>
          <w:p w14:paraId="2E4AA711" w14:textId="77777777" w:rsidR="004455E9" w:rsidRPr="00E332E7" w:rsidRDefault="004455E9" w:rsidP="00772A50">
            <w:pPr>
              <w:pStyle w:val="Bangheader"/>
              <w:spacing w:before="0" w:after="0" w:line="276" w:lineRule="auto"/>
              <w:rPr>
                <w:spacing w:val="0"/>
              </w:rPr>
            </w:pPr>
            <w:r w:rsidRPr="00E332E7">
              <w:rPr>
                <w:spacing w:val="0"/>
              </w:rPr>
              <w:t>Reason</w:t>
            </w:r>
          </w:p>
        </w:tc>
        <w:tc>
          <w:tcPr>
            <w:tcW w:w="1195" w:type="dxa"/>
            <w:shd w:val="clear" w:color="auto" w:fill="D9D9D9"/>
            <w:vAlign w:val="center"/>
          </w:tcPr>
          <w:p w14:paraId="00F7F90B" w14:textId="77777777" w:rsidR="004455E9" w:rsidRPr="00E332E7" w:rsidRDefault="004455E9" w:rsidP="00772A50">
            <w:pPr>
              <w:pStyle w:val="Bangheader"/>
              <w:spacing w:before="0" w:after="0" w:line="276" w:lineRule="auto"/>
              <w:rPr>
                <w:spacing w:val="0"/>
              </w:rPr>
            </w:pPr>
            <w:r w:rsidRPr="00E332E7">
              <w:rPr>
                <w:spacing w:val="0"/>
              </w:rPr>
              <w:t>Reviewer</w:t>
            </w:r>
          </w:p>
        </w:tc>
        <w:tc>
          <w:tcPr>
            <w:tcW w:w="1531" w:type="dxa"/>
            <w:shd w:val="clear" w:color="auto" w:fill="D9D9D9"/>
            <w:vAlign w:val="center"/>
          </w:tcPr>
          <w:p w14:paraId="4419C182" w14:textId="77777777" w:rsidR="004455E9" w:rsidRPr="00E332E7" w:rsidRDefault="004455E9" w:rsidP="00772A50">
            <w:pPr>
              <w:pStyle w:val="Bangheader"/>
              <w:spacing w:before="0" w:after="0" w:line="276" w:lineRule="auto"/>
              <w:rPr>
                <w:spacing w:val="0"/>
              </w:rPr>
            </w:pPr>
            <w:r w:rsidRPr="00E332E7">
              <w:rPr>
                <w:spacing w:val="0"/>
              </w:rPr>
              <w:t>Final</w:t>
            </w:r>
            <w:r w:rsidR="008A2678" w:rsidRPr="00E332E7">
              <w:rPr>
                <w:spacing w:val="0"/>
              </w:rPr>
              <w:t xml:space="preserve"> Reviewer</w:t>
            </w:r>
          </w:p>
        </w:tc>
        <w:tc>
          <w:tcPr>
            <w:tcW w:w="992" w:type="dxa"/>
            <w:shd w:val="clear" w:color="auto" w:fill="D9D9D9"/>
            <w:vAlign w:val="center"/>
          </w:tcPr>
          <w:p w14:paraId="2B218001" w14:textId="77777777" w:rsidR="004455E9" w:rsidRPr="00E332E7" w:rsidRDefault="004455E9" w:rsidP="00772A50">
            <w:pPr>
              <w:pStyle w:val="Bangheader"/>
              <w:spacing w:before="0" w:after="0" w:line="276" w:lineRule="auto"/>
              <w:rPr>
                <w:spacing w:val="0"/>
              </w:rPr>
            </w:pPr>
            <w:r w:rsidRPr="00E332E7">
              <w:rPr>
                <w:spacing w:val="0"/>
              </w:rPr>
              <w:t>Approver</w:t>
            </w:r>
          </w:p>
        </w:tc>
      </w:tr>
      <w:tr w:rsidR="004455E9" w:rsidRPr="00E332E7" w14:paraId="3E0DDBE5" w14:textId="77777777" w:rsidTr="00A678DA">
        <w:trPr>
          <w:trHeight w:val="471"/>
        </w:trPr>
        <w:tc>
          <w:tcPr>
            <w:tcW w:w="474" w:type="dxa"/>
          </w:tcPr>
          <w:p w14:paraId="74DD6518" w14:textId="77777777" w:rsidR="004455E9" w:rsidRPr="00E332E7" w:rsidRDefault="004455E9" w:rsidP="00E332E7">
            <w:pPr>
              <w:spacing w:before="0" w:line="276" w:lineRule="auto"/>
              <w:rPr>
                <w:rFonts w:cs="Arial"/>
                <w:sz w:val="18"/>
                <w:szCs w:val="18"/>
              </w:rPr>
            </w:pPr>
            <w:r w:rsidRPr="00E332E7">
              <w:rPr>
                <w:rFonts w:cs="Arial"/>
                <w:sz w:val="18"/>
                <w:szCs w:val="18"/>
              </w:rPr>
              <w:t>1</w:t>
            </w:r>
          </w:p>
        </w:tc>
        <w:tc>
          <w:tcPr>
            <w:tcW w:w="1517" w:type="dxa"/>
          </w:tcPr>
          <w:p w14:paraId="6C7C4CEA" w14:textId="0AA2F077" w:rsidR="004455E9" w:rsidRPr="00E332E7" w:rsidRDefault="004455E9" w:rsidP="00E332E7">
            <w:pPr>
              <w:spacing w:before="0" w:line="276" w:lineRule="auto"/>
              <w:rPr>
                <w:rFonts w:cs="Arial"/>
                <w:sz w:val="18"/>
                <w:szCs w:val="18"/>
              </w:rPr>
            </w:pPr>
            <w:r w:rsidRPr="00E332E7">
              <w:rPr>
                <w:rFonts w:cs="Arial"/>
                <w:sz w:val="18"/>
                <w:szCs w:val="18"/>
              </w:rPr>
              <w:t>1</w:t>
            </w:r>
            <w:r w:rsidR="0090491A">
              <w:rPr>
                <w:rFonts w:cs="Arial"/>
                <w:sz w:val="18"/>
                <w:szCs w:val="18"/>
              </w:rPr>
              <w:t>0-May-</w:t>
            </w:r>
            <w:r w:rsidRPr="00E332E7">
              <w:rPr>
                <w:rFonts w:cs="Arial"/>
                <w:sz w:val="18"/>
                <w:szCs w:val="18"/>
              </w:rPr>
              <w:t>2019</w:t>
            </w:r>
          </w:p>
        </w:tc>
        <w:tc>
          <w:tcPr>
            <w:tcW w:w="1043" w:type="dxa"/>
          </w:tcPr>
          <w:p w14:paraId="779FAF4E" w14:textId="77777777" w:rsidR="004455E9" w:rsidRPr="00E332E7" w:rsidRDefault="004455E9" w:rsidP="00E332E7">
            <w:pPr>
              <w:spacing w:before="0" w:line="276" w:lineRule="auto"/>
              <w:rPr>
                <w:rFonts w:cs="Arial"/>
                <w:sz w:val="18"/>
                <w:szCs w:val="18"/>
              </w:rPr>
            </w:pPr>
            <w:r w:rsidRPr="00E332E7">
              <w:rPr>
                <w:rFonts w:cs="Arial"/>
                <w:sz w:val="18"/>
                <w:szCs w:val="18"/>
              </w:rPr>
              <w:t>1.0</w:t>
            </w:r>
          </w:p>
        </w:tc>
        <w:tc>
          <w:tcPr>
            <w:tcW w:w="2104" w:type="dxa"/>
          </w:tcPr>
          <w:p w14:paraId="44153EBE" w14:textId="77777777" w:rsidR="004455E9" w:rsidRPr="00E332E7" w:rsidRDefault="004455E9" w:rsidP="00E332E7">
            <w:pPr>
              <w:spacing w:before="0" w:line="276" w:lineRule="auto"/>
              <w:rPr>
                <w:rFonts w:cs="Arial"/>
                <w:sz w:val="18"/>
                <w:szCs w:val="18"/>
              </w:rPr>
            </w:pPr>
            <w:r w:rsidRPr="00E332E7">
              <w:rPr>
                <w:rFonts w:cs="Arial"/>
                <w:sz w:val="18"/>
                <w:szCs w:val="18"/>
              </w:rPr>
              <w:t>Newly issued</w:t>
            </w:r>
          </w:p>
        </w:tc>
        <w:tc>
          <w:tcPr>
            <w:tcW w:w="1493" w:type="dxa"/>
          </w:tcPr>
          <w:p w14:paraId="7E14DF27" w14:textId="77777777" w:rsidR="004455E9" w:rsidRPr="00E332E7" w:rsidRDefault="004455E9" w:rsidP="00E332E7">
            <w:pPr>
              <w:spacing w:before="0" w:line="276" w:lineRule="auto"/>
              <w:rPr>
                <w:rFonts w:cs="Arial"/>
                <w:sz w:val="18"/>
                <w:szCs w:val="18"/>
              </w:rPr>
            </w:pPr>
            <w:r w:rsidRPr="00E332E7">
              <w:rPr>
                <w:rFonts w:cs="Arial"/>
                <w:sz w:val="18"/>
                <w:szCs w:val="18"/>
              </w:rPr>
              <w:t>Business requirement</w:t>
            </w:r>
          </w:p>
        </w:tc>
        <w:tc>
          <w:tcPr>
            <w:tcW w:w="1195" w:type="dxa"/>
          </w:tcPr>
          <w:p w14:paraId="01C1DD19" w14:textId="77777777" w:rsidR="004455E9" w:rsidRPr="00E332E7" w:rsidRDefault="008A5710" w:rsidP="00E332E7">
            <w:pPr>
              <w:spacing w:before="0" w:line="276" w:lineRule="auto"/>
              <w:rPr>
                <w:rFonts w:cs="Arial"/>
                <w:sz w:val="18"/>
                <w:szCs w:val="18"/>
              </w:rPr>
            </w:pPr>
            <w:proofErr w:type="spellStart"/>
            <w:r w:rsidRPr="00E332E7">
              <w:rPr>
                <w:rFonts w:cs="Arial"/>
                <w:sz w:val="18"/>
                <w:szCs w:val="18"/>
              </w:rPr>
              <w:t>MinhPT</w:t>
            </w:r>
            <w:proofErr w:type="spellEnd"/>
          </w:p>
        </w:tc>
        <w:tc>
          <w:tcPr>
            <w:tcW w:w="1531" w:type="dxa"/>
          </w:tcPr>
          <w:p w14:paraId="054BBA5D" w14:textId="77777777" w:rsidR="004455E9" w:rsidRPr="00E332E7" w:rsidRDefault="008A2678" w:rsidP="00E332E7">
            <w:pPr>
              <w:spacing w:before="0" w:line="276" w:lineRule="auto"/>
              <w:rPr>
                <w:rFonts w:cs="Arial"/>
                <w:sz w:val="18"/>
                <w:szCs w:val="18"/>
              </w:rPr>
            </w:pPr>
            <w:r w:rsidRPr="00E332E7">
              <w:rPr>
                <w:rFonts w:cs="Arial"/>
                <w:sz w:val="18"/>
                <w:szCs w:val="18"/>
              </w:rPr>
              <w:t>Michael Hering</w:t>
            </w:r>
          </w:p>
        </w:tc>
        <w:tc>
          <w:tcPr>
            <w:tcW w:w="992" w:type="dxa"/>
          </w:tcPr>
          <w:p w14:paraId="453930B1" w14:textId="77777777" w:rsidR="004455E9" w:rsidRPr="00E332E7" w:rsidRDefault="008A5710" w:rsidP="00E332E7">
            <w:pPr>
              <w:pStyle w:val="headingbang"/>
              <w:spacing w:before="0" w:after="0" w:line="276" w:lineRule="auto"/>
              <w:rPr>
                <w:rFonts w:ascii="Arial" w:hAnsi="Arial" w:cs="Arial"/>
                <w:b w:val="0"/>
                <w:noProof w:val="0"/>
                <w:color w:val="auto"/>
                <w:sz w:val="18"/>
                <w:szCs w:val="18"/>
              </w:rPr>
            </w:pPr>
            <w:proofErr w:type="spellStart"/>
            <w:r w:rsidRPr="00E332E7">
              <w:rPr>
                <w:rFonts w:ascii="Arial" w:hAnsi="Arial" w:cs="Arial"/>
                <w:b w:val="0"/>
                <w:noProof w:val="0"/>
                <w:color w:val="auto"/>
                <w:sz w:val="18"/>
                <w:szCs w:val="18"/>
              </w:rPr>
              <w:t>HoanNK</w:t>
            </w:r>
            <w:proofErr w:type="spellEnd"/>
          </w:p>
        </w:tc>
      </w:tr>
      <w:tr w:rsidR="004455E9" w:rsidRPr="00E332E7" w14:paraId="5F2F4D07" w14:textId="77777777" w:rsidTr="00A678DA">
        <w:trPr>
          <w:trHeight w:val="471"/>
        </w:trPr>
        <w:tc>
          <w:tcPr>
            <w:tcW w:w="474" w:type="dxa"/>
          </w:tcPr>
          <w:p w14:paraId="34B9B66F" w14:textId="77777777" w:rsidR="004455E9" w:rsidRPr="00E332E7" w:rsidRDefault="004455E9" w:rsidP="00E332E7">
            <w:pPr>
              <w:spacing w:before="0" w:line="276" w:lineRule="auto"/>
              <w:rPr>
                <w:rFonts w:cs="Arial"/>
                <w:sz w:val="18"/>
                <w:szCs w:val="18"/>
              </w:rPr>
            </w:pPr>
            <w:r w:rsidRPr="00E332E7">
              <w:rPr>
                <w:rFonts w:cs="Arial"/>
                <w:sz w:val="18"/>
                <w:szCs w:val="18"/>
              </w:rPr>
              <w:t>2</w:t>
            </w:r>
          </w:p>
        </w:tc>
        <w:tc>
          <w:tcPr>
            <w:tcW w:w="1517" w:type="dxa"/>
          </w:tcPr>
          <w:p w14:paraId="53989CC9" w14:textId="3FE5681D" w:rsidR="004455E9" w:rsidRPr="00E332E7" w:rsidRDefault="0090491A" w:rsidP="00E332E7">
            <w:pPr>
              <w:spacing w:before="0" w:line="276" w:lineRule="auto"/>
              <w:rPr>
                <w:rFonts w:cs="Arial"/>
                <w:sz w:val="18"/>
                <w:szCs w:val="18"/>
              </w:rPr>
            </w:pPr>
            <w:r>
              <w:rPr>
                <w:rFonts w:cs="Arial"/>
                <w:sz w:val="18"/>
                <w:szCs w:val="18"/>
              </w:rPr>
              <w:t>21-Oct-</w:t>
            </w:r>
            <w:r w:rsidR="009C4FD7" w:rsidRPr="00E332E7">
              <w:rPr>
                <w:rFonts w:cs="Arial"/>
                <w:sz w:val="18"/>
                <w:szCs w:val="18"/>
              </w:rPr>
              <w:t>2020</w:t>
            </w:r>
          </w:p>
        </w:tc>
        <w:tc>
          <w:tcPr>
            <w:tcW w:w="1043" w:type="dxa"/>
          </w:tcPr>
          <w:p w14:paraId="20C3AA68" w14:textId="77777777" w:rsidR="004455E9" w:rsidRPr="00E332E7" w:rsidRDefault="008A5710" w:rsidP="00E332E7">
            <w:pPr>
              <w:spacing w:before="0" w:line="276" w:lineRule="auto"/>
              <w:rPr>
                <w:rFonts w:cs="Arial"/>
                <w:sz w:val="18"/>
                <w:szCs w:val="18"/>
              </w:rPr>
            </w:pPr>
            <w:r w:rsidRPr="00E332E7">
              <w:rPr>
                <w:rFonts w:cs="Arial"/>
                <w:sz w:val="18"/>
                <w:szCs w:val="18"/>
              </w:rPr>
              <w:t>1.1</w:t>
            </w:r>
          </w:p>
        </w:tc>
        <w:tc>
          <w:tcPr>
            <w:tcW w:w="2104" w:type="dxa"/>
          </w:tcPr>
          <w:p w14:paraId="0D6D1407" w14:textId="42B68EDB" w:rsidR="004455E9" w:rsidRPr="00E332E7" w:rsidRDefault="00E332E7" w:rsidP="00E332E7">
            <w:pPr>
              <w:spacing w:before="0" w:line="276" w:lineRule="auto"/>
              <w:rPr>
                <w:rFonts w:cs="Arial"/>
                <w:sz w:val="18"/>
                <w:szCs w:val="18"/>
              </w:rPr>
            </w:pPr>
            <w:r w:rsidRPr="00E332E7">
              <w:rPr>
                <w:rFonts w:cs="Arial"/>
                <w:sz w:val="18"/>
                <w:szCs w:val="18"/>
              </w:rPr>
              <w:t>Annually revision</w:t>
            </w:r>
          </w:p>
        </w:tc>
        <w:tc>
          <w:tcPr>
            <w:tcW w:w="1493" w:type="dxa"/>
          </w:tcPr>
          <w:p w14:paraId="2CA60585" w14:textId="77777777" w:rsidR="004455E9" w:rsidRPr="00E332E7" w:rsidRDefault="009C4FD7" w:rsidP="00E332E7">
            <w:pPr>
              <w:spacing w:before="0" w:line="276" w:lineRule="auto"/>
              <w:rPr>
                <w:rFonts w:cs="Arial"/>
                <w:sz w:val="18"/>
                <w:szCs w:val="18"/>
              </w:rPr>
            </w:pPr>
            <w:r w:rsidRPr="00E332E7">
              <w:rPr>
                <w:rFonts w:cs="Arial"/>
                <w:sz w:val="18"/>
                <w:szCs w:val="18"/>
              </w:rPr>
              <w:t>Legal requirement</w:t>
            </w:r>
          </w:p>
        </w:tc>
        <w:tc>
          <w:tcPr>
            <w:tcW w:w="1195" w:type="dxa"/>
          </w:tcPr>
          <w:p w14:paraId="782E82E6" w14:textId="77777777" w:rsidR="004455E9" w:rsidRPr="00E332E7" w:rsidRDefault="008A5710" w:rsidP="00E332E7">
            <w:pPr>
              <w:spacing w:before="0" w:line="276" w:lineRule="auto"/>
              <w:rPr>
                <w:rFonts w:cs="Arial"/>
                <w:sz w:val="18"/>
                <w:szCs w:val="18"/>
              </w:rPr>
            </w:pPr>
            <w:r w:rsidRPr="00E332E7">
              <w:rPr>
                <w:rFonts w:cs="Arial"/>
                <w:sz w:val="18"/>
                <w:szCs w:val="18"/>
              </w:rPr>
              <w:t>TrangNN4</w:t>
            </w:r>
          </w:p>
        </w:tc>
        <w:tc>
          <w:tcPr>
            <w:tcW w:w="1531" w:type="dxa"/>
          </w:tcPr>
          <w:p w14:paraId="2B60AB9D" w14:textId="77777777" w:rsidR="004455E9" w:rsidRPr="00E332E7" w:rsidRDefault="009C4FD7" w:rsidP="00E332E7">
            <w:pPr>
              <w:spacing w:before="0" w:line="276" w:lineRule="auto"/>
              <w:rPr>
                <w:rFonts w:cs="Arial"/>
                <w:sz w:val="18"/>
                <w:szCs w:val="18"/>
              </w:rPr>
            </w:pPr>
            <w:r w:rsidRPr="00E332E7">
              <w:rPr>
                <w:rFonts w:cs="Arial"/>
                <w:sz w:val="18"/>
                <w:szCs w:val="18"/>
              </w:rPr>
              <w:t>Michael Hering</w:t>
            </w:r>
          </w:p>
        </w:tc>
        <w:tc>
          <w:tcPr>
            <w:tcW w:w="992" w:type="dxa"/>
          </w:tcPr>
          <w:p w14:paraId="36A47BD4" w14:textId="77777777" w:rsidR="004455E9" w:rsidRPr="00E332E7" w:rsidRDefault="008A5710" w:rsidP="00E332E7">
            <w:pPr>
              <w:pStyle w:val="headingbang"/>
              <w:spacing w:before="0" w:after="0" w:line="276" w:lineRule="auto"/>
              <w:rPr>
                <w:rFonts w:ascii="Arial" w:hAnsi="Arial" w:cs="Arial"/>
                <w:b w:val="0"/>
                <w:noProof w:val="0"/>
                <w:color w:val="auto"/>
                <w:sz w:val="18"/>
                <w:szCs w:val="18"/>
              </w:rPr>
            </w:pPr>
            <w:proofErr w:type="spellStart"/>
            <w:r w:rsidRPr="00E332E7">
              <w:rPr>
                <w:rFonts w:ascii="Arial" w:hAnsi="Arial" w:cs="Arial"/>
                <w:b w:val="0"/>
                <w:noProof w:val="0"/>
                <w:color w:val="auto"/>
                <w:sz w:val="18"/>
                <w:szCs w:val="18"/>
              </w:rPr>
              <w:t>HoanNK</w:t>
            </w:r>
            <w:proofErr w:type="spellEnd"/>
          </w:p>
        </w:tc>
      </w:tr>
      <w:tr w:rsidR="004455E9" w:rsidRPr="00E332E7" w14:paraId="33A89762" w14:textId="77777777" w:rsidTr="00A678DA">
        <w:trPr>
          <w:trHeight w:val="3420"/>
        </w:trPr>
        <w:tc>
          <w:tcPr>
            <w:tcW w:w="474" w:type="dxa"/>
          </w:tcPr>
          <w:p w14:paraId="34AAFDA7" w14:textId="77777777" w:rsidR="004455E9" w:rsidRPr="00E332E7" w:rsidRDefault="004455E9" w:rsidP="00E332E7">
            <w:pPr>
              <w:spacing w:before="0" w:line="276" w:lineRule="auto"/>
              <w:rPr>
                <w:rFonts w:cs="Arial"/>
                <w:sz w:val="18"/>
                <w:szCs w:val="18"/>
              </w:rPr>
            </w:pPr>
            <w:r w:rsidRPr="00E332E7">
              <w:rPr>
                <w:rFonts w:cs="Arial"/>
                <w:sz w:val="18"/>
                <w:szCs w:val="18"/>
              </w:rPr>
              <w:t>3</w:t>
            </w:r>
          </w:p>
        </w:tc>
        <w:tc>
          <w:tcPr>
            <w:tcW w:w="1517" w:type="dxa"/>
          </w:tcPr>
          <w:p w14:paraId="1ED1D007" w14:textId="7922ED9A" w:rsidR="004455E9" w:rsidRPr="00E332E7" w:rsidRDefault="0090491A" w:rsidP="00E332E7">
            <w:pPr>
              <w:spacing w:before="0" w:line="276" w:lineRule="auto"/>
              <w:rPr>
                <w:rFonts w:cs="Arial"/>
                <w:sz w:val="18"/>
                <w:szCs w:val="18"/>
              </w:rPr>
            </w:pPr>
            <w:r>
              <w:rPr>
                <w:rFonts w:cs="Arial"/>
                <w:sz w:val="18"/>
                <w:szCs w:val="18"/>
              </w:rPr>
              <w:t>11-May-</w:t>
            </w:r>
            <w:r w:rsidR="008A5710" w:rsidRPr="00E332E7">
              <w:rPr>
                <w:rFonts w:cs="Arial"/>
                <w:sz w:val="18"/>
                <w:szCs w:val="18"/>
              </w:rPr>
              <w:t>2020</w:t>
            </w:r>
          </w:p>
        </w:tc>
        <w:tc>
          <w:tcPr>
            <w:tcW w:w="1043" w:type="dxa"/>
          </w:tcPr>
          <w:p w14:paraId="722666A5" w14:textId="77777777" w:rsidR="004455E9" w:rsidRPr="00E332E7" w:rsidRDefault="008A5710" w:rsidP="00E332E7">
            <w:pPr>
              <w:spacing w:before="0" w:line="276" w:lineRule="auto"/>
              <w:rPr>
                <w:rFonts w:cs="Arial"/>
                <w:sz w:val="18"/>
                <w:szCs w:val="18"/>
              </w:rPr>
            </w:pPr>
            <w:r w:rsidRPr="00E332E7">
              <w:rPr>
                <w:rFonts w:cs="Arial"/>
                <w:sz w:val="18"/>
                <w:szCs w:val="18"/>
              </w:rPr>
              <w:t>2.0</w:t>
            </w:r>
          </w:p>
        </w:tc>
        <w:tc>
          <w:tcPr>
            <w:tcW w:w="2104" w:type="dxa"/>
          </w:tcPr>
          <w:p w14:paraId="6065984C" w14:textId="77777777" w:rsidR="00A678DA" w:rsidRDefault="00E332E7" w:rsidP="00E332E7">
            <w:pPr>
              <w:spacing w:before="0" w:line="276" w:lineRule="auto"/>
              <w:rPr>
                <w:rFonts w:cs="Arial"/>
                <w:sz w:val="18"/>
                <w:szCs w:val="18"/>
                <w:shd w:val="clear" w:color="auto" w:fill="FFFFFF"/>
              </w:rPr>
            </w:pPr>
            <w:r w:rsidRPr="00E332E7">
              <w:rPr>
                <w:rFonts w:cs="Arial"/>
                <w:sz w:val="18"/>
                <w:szCs w:val="18"/>
                <w:shd w:val="clear" w:color="auto" w:fill="FFFFFF"/>
              </w:rPr>
              <w:t>Add 2 sections:</w:t>
            </w:r>
            <w:r w:rsidR="00A678DA">
              <w:rPr>
                <w:rFonts w:cs="Arial"/>
                <w:sz w:val="18"/>
                <w:szCs w:val="18"/>
                <w:shd w:val="clear" w:color="auto" w:fill="FFFFFF"/>
              </w:rPr>
              <w:t xml:space="preserve"> </w:t>
            </w:r>
            <w:r w:rsidRPr="00E332E7">
              <w:rPr>
                <w:rFonts w:cs="Arial"/>
                <w:sz w:val="18"/>
                <w:szCs w:val="18"/>
                <w:shd w:val="clear" w:color="auto" w:fill="FFFFFF"/>
              </w:rPr>
              <w:t>1.5. Application of national Laws</w:t>
            </w:r>
            <w:r w:rsidR="00A678DA">
              <w:rPr>
                <w:rFonts w:cs="Arial"/>
                <w:sz w:val="18"/>
                <w:szCs w:val="18"/>
                <w:shd w:val="clear" w:color="auto" w:fill="FFFFFF"/>
              </w:rPr>
              <w:t xml:space="preserve">, </w:t>
            </w:r>
            <w:r w:rsidRPr="00E332E7">
              <w:rPr>
                <w:rFonts w:cs="Arial"/>
                <w:sz w:val="18"/>
                <w:szCs w:val="18"/>
                <w:shd w:val="clear" w:color="auto" w:fill="FFFFFF"/>
              </w:rPr>
              <w:t>2.2. Data Classification Essentials</w:t>
            </w:r>
          </w:p>
          <w:p w14:paraId="4A489893" w14:textId="616E52A6" w:rsidR="00A678DA" w:rsidRDefault="00E332E7" w:rsidP="00E332E7">
            <w:pPr>
              <w:spacing w:before="0" w:line="276" w:lineRule="auto"/>
              <w:rPr>
                <w:rFonts w:cs="Arial"/>
                <w:sz w:val="18"/>
                <w:szCs w:val="18"/>
                <w:shd w:val="clear" w:color="auto" w:fill="FFFFFF"/>
              </w:rPr>
            </w:pPr>
            <w:r w:rsidRPr="00E332E7">
              <w:rPr>
                <w:rFonts w:cs="Arial"/>
                <w:sz w:val="18"/>
                <w:szCs w:val="18"/>
                <w:shd w:val="clear" w:color="auto" w:fill="FFFFFF"/>
              </w:rPr>
              <w:t>Add content of 1 Introduction</w:t>
            </w:r>
          </w:p>
          <w:p w14:paraId="2AE434DF" w14:textId="77777777" w:rsidR="00A678DA" w:rsidRDefault="00E332E7" w:rsidP="00E332E7">
            <w:pPr>
              <w:spacing w:before="0" w:line="276" w:lineRule="auto"/>
              <w:rPr>
                <w:rFonts w:cs="Arial"/>
                <w:sz w:val="18"/>
                <w:szCs w:val="18"/>
                <w:shd w:val="clear" w:color="auto" w:fill="FFFFFF"/>
              </w:rPr>
            </w:pPr>
            <w:r w:rsidRPr="00E332E7">
              <w:rPr>
                <w:rFonts w:cs="Arial"/>
                <w:sz w:val="18"/>
                <w:szCs w:val="18"/>
                <w:shd w:val="clear" w:color="auto" w:fill="FFFFFF"/>
              </w:rPr>
              <w:t>Update: 1.1. Purpose, 1.2 Application Scope, 1.3 Definition, 1.4 Related Document, 1.5. Responsibility</w:t>
            </w:r>
          </w:p>
          <w:p w14:paraId="25B01683" w14:textId="77777777" w:rsidR="00D024E6" w:rsidRDefault="00E332E7" w:rsidP="00E332E7">
            <w:pPr>
              <w:spacing w:before="0" w:line="276" w:lineRule="auto"/>
              <w:rPr>
                <w:rFonts w:cs="Arial"/>
                <w:sz w:val="18"/>
                <w:szCs w:val="18"/>
                <w:shd w:val="clear" w:color="auto" w:fill="FFFFFF"/>
              </w:rPr>
            </w:pPr>
            <w:r w:rsidRPr="00E332E7">
              <w:rPr>
                <w:rFonts w:cs="Arial"/>
                <w:sz w:val="18"/>
                <w:szCs w:val="18"/>
                <w:shd w:val="clear" w:color="auto" w:fill="FFFFFF"/>
              </w:rPr>
              <w:t xml:space="preserve">Update 2. Guideline </w:t>
            </w:r>
            <w:r w:rsidR="00D024E6" w:rsidRPr="00E332E7">
              <w:rPr>
                <w:rFonts w:cs="Arial"/>
                <w:sz w:val="18"/>
                <w:szCs w:val="18"/>
                <w:shd w:val="clear" w:color="auto" w:fill="FFFFFF"/>
              </w:rPr>
              <w:t xml:space="preserve">content </w:t>
            </w:r>
          </w:p>
          <w:p w14:paraId="463CBA6F" w14:textId="2DD76081" w:rsidR="004455E9" w:rsidRPr="00E332E7" w:rsidRDefault="00D024E6" w:rsidP="00E332E7">
            <w:pPr>
              <w:spacing w:before="0" w:line="276" w:lineRule="auto"/>
              <w:rPr>
                <w:rFonts w:cs="Arial"/>
                <w:sz w:val="18"/>
                <w:szCs w:val="18"/>
              </w:rPr>
            </w:pPr>
            <w:r w:rsidRPr="00E332E7">
              <w:rPr>
                <w:rFonts w:cs="Arial"/>
                <w:sz w:val="18"/>
                <w:szCs w:val="18"/>
                <w:shd w:val="clear" w:color="auto" w:fill="FFFFFF"/>
              </w:rPr>
              <w:t>Add</w:t>
            </w:r>
            <w:r w:rsidR="00E332E7" w:rsidRPr="00E332E7">
              <w:rPr>
                <w:rFonts w:cs="Arial"/>
                <w:sz w:val="18"/>
                <w:szCs w:val="18"/>
                <w:shd w:val="clear" w:color="auto" w:fill="FFFFFF"/>
              </w:rPr>
              <w:t xml:space="preserve"> Example PII at APPENDIX</w:t>
            </w:r>
            <w:r>
              <w:rPr>
                <w:rFonts w:cs="Arial"/>
                <w:sz w:val="18"/>
                <w:szCs w:val="18"/>
                <w:shd w:val="clear" w:color="auto" w:fill="FFFFFF"/>
              </w:rPr>
              <w:t xml:space="preserve"> </w:t>
            </w:r>
            <w:r w:rsidR="00E332E7" w:rsidRPr="00E332E7">
              <w:rPr>
                <w:rFonts w:cs="Arial"/>
                <w:sz w:val="18"/>
                <w:szCs w:val="18"/>
                <w:shd w:val="clear" w:color="auto" w:fill="FFFFFF"/>
              </w:rPr>
              <w:t>section</w:t>
            </w:r>
          </w:p>
        </w:tc>
        <w:tc>
          <w:tcPr>
            <w:tcW w:w="1493" w:type="dxa"/>
          </w:tcPr>
          <w:p w14:paraId="22C8FCC8" w14:textId="63C65268" w:rsidR="004455E9" w:rsidRPr="00E332E7" w:rsidRDefault="00E332E7" w:rsidP="00E332E7">
            <w:pPr>
              <w:spacing w:before="0" w:line="276" w:lineRule="auto"/>
              <w:rPr>
                <w:rFonts w:cs="Arial"/>
                <w:sz w:val="18"/>
                <w:szCs w:val="18"/>
              </w:rPr>
            </w:pPr>
            <w:r w:rsidRPr="00E332E7">
              <w:rPr>
                <w:rFonts w:cs="Arial"/>
                <w:sz w:val="18"/>
                <w:szCs w:val="18"/>
                <w:shd w:val="clear" w:color="auto" w:fill="FFFFFF"/>
              </w:rPr>
              <w:t>Update according to annually revision requirement</w:t>
            </w:r>
          </w:p>
        </w:tc>
        <w:tc>
          <w:tcPr>
            <w:tcW w:w="1195" w:type="dxa"/>
          </w:tcPr>
          <w:p w14:paraId="139650F0" w14:textId="77777777" w:rsidR="004455E9" w:rsidRPr="00E332E7" w:rsidRDefault="008A5710" w:rsidP="00E332E7">
            <w:pPr>
              <w:spacing w:before="0" w:line="276" w:lineRule="auto"/>
              <w:rPr>
                <w:rFonts w:cs="Arial"/>
                <w:sz w:val="18"/>
                <w:szCs w:val="18"/>
              </w:rPr>
            </w:pPr>
            <w:r w:rsidRPr="00E332E7">
              <w:rPr>
                <w:rFonts w:cs="Arial"/>
                <w:sz w:val="18"/>
                <w:szCs w:val="18"/>
              </w:rPr>
              <w:t>TrangNN4</w:t>
            </w:r>
          </w:p>
        </w:tc>
        <w:tc>
          <w:tcPr>
            <w:tcW w:w="1531" w:type="dxa"/>
          </w:tcPr>
          <w:p w14:paraId="08ABB738" w14:textId="77777777" w:rsidR="004455E9" w:rsidRPr="00E332E7" w:rsidRDefault="008A5710" w:rsidP="00E332E7">
            <w:pPr>
              <w:spacing w:before="0" w:line="276" w:lineRule="auto"/>
              <w:rPr>
                <w:rFonts w:cs="Arial"/>
                <w:sz w:val="18"/>
                <w:szCs w:val="18"/>
              </w:rPr>
            </w:pPr>
            <w:r w:rsidRPr="00E332E7">
              <w:rPr>
                <w:rFonts w:cs="Arial"/>
                <w:sz w:val="18"/>
                <w:szCs w:val="18"/>
              </w:rPr>
              <w:t>Michael Hering</w:t>
            </w:r>
          </w:p>
        </w:tc>
        <w:tc>
          <w:tcPr>
            <w:tcW w:w="992" w:type="dxa"/>
          </w:tcPr>
          <w:p w14:paraId="3EA0A361" w14:textId="77777777" w:rsidR="004455E9" w:rsidRPr="00E332E7" w:rsidRDefault="008A5710" w:rsidP="00E332E7">
            <w:pPr>
              <w:spacing w:before="0" w:line="276" w:lineRule="auto"/>
              <w:rPr>
                <w:rFonts w:cs="Arial"/>
                <w:sz w:val="18"/>
                <w:szCs w:val="18"/>
              </w:rPr>
            </w:pPr>
            <w:proofErr w:type="spellStart"/>
            <w:r w:rsidRPr="00E332E7">
              <w:rPr>
                <w:rFonts w:cs="Arial"/>
                <w:sz w:val="18"/>
                <w:szCs w:val="18"/>
              </w:rPr>
              <w:t>HoanNK</w:t>
            </w:r>
            <w:proofErr w:type="spellEnd"/>
          </w:p>
        </w:tc>
      </w:tr>
      <w:tr w:rsidR="004455E9" w:rsidRPr="00E332E7" w14:paraId="19E0AF54" w14:textId="77777777" w:rsidTr="00A678DA">
        <w:trPr>
          <w:trHeight w:val="481"/>
        </w:trPr>
        <w:tc>
          <w:tcPr>
            <w:tcW w:w="474" w:type="dxa"/>
          </w:tcPr>
          <w:p w14:paraId="65C44797" w14:textId="77777777" w:rsidR="004455E9" w:rsidRPr="00E332E7" w:rsidRDefault="00FF159F" w:rsidP="00E332E7">
            <w:pPr>
              <w:spacing w:before="0" w:line="276" w:lineRule="auto"/>
              <w:rPr>
                <w:rFonts w:cs="Arial"/>
                <w:sz w:val="18"/>
                <w:szCs w:val="18"/>
              </w:rPr>
            </w:pPr>
            <w:r w:rsidRPr="00E332E7">
              <w:rPr>
                <w:rFonts w:cs="Arial"/>
                <w:sz w:val="18"/>
                <w:szCs w:val="18"/>
              </w:rPr>
              <w:t>4</w:t>
            </w:r>
          </w:p>
        </w:tc>
        <w:tc>
          <w:tcPr>
            <w:tcW w:w="1517" w:type="dxa"/>
          </w:tcPr>
          <w:p w14:paraId="35FB6684" w14:textId="30C49A51" w:rsidR="004455E9" w:rsidRPr="00E332E7" w:rsidRDefault="00C03907" w:rsidP="00E332E7">
            <w:pPr>
              <w:spacing w:before="0" w:line="276" w:lineRule="auto"/>
              <w:rPr>
                <w:rFonts w:cs="Arial"/>
                <w:sz w:val="18"/>
                <w:szCs w:val="18"/>
              </w:rPr>
            </w:pPr>
            <w:r>
              <w:rPr>
                <w:rFonts w:cs="Arial"/>
                <w:sz w:val="18"/>
                <w:szCs w:val="18"/>
              </w:rPr>
              <w:t>01-Jul-</w:t>
            </w:r>
            <w:r w:rsidR="00FF159F" w:rsidRPr="00E332E7">
              <w:rPr>
                <w:rFonts w:cs="Arial"/>
                <w:sz w:val="18"/>
                <w:szCs w:val="18"/>
              </w:rPr>
              <w:t>2020</w:t>
            </w:r>
          </w:p>
        </w:tc>
        <w:tc>
          <w:tcPr>
            <w:tcW w:w="1043" w:type="dxa"/>
          </w:tcPr>
          <w:p w14:paraId="089896B2" w14:textId="45EBDA86" w:rsidR="004455E9" w:rsidRPr="00E332E7" w:rsidRDefault="00FF159F" w:rsidP="00E332E7">
            <w:pPr>
              <w:spacing w:before="0" w:line="276" w:lineRule="auto"/>
              <w:rPr>
                <w:rFonts w:cs="Arial"/>
                <w:sz w:val="18"/>
                <w:szCs w:val="18"/>
              </w:rPr>
            </w:pPr>
            <w:r w:rsidRPr="00E332E7">
              <w:rPr>
                <w:rFonts w:cs="Arial"/>
                <w:sz w:val="18"/>
                <w:szCs w:val="18"/>
              </w:rPr>
              <w:t>2.</w:t>
            </w:r>
            <w:r w:rsidR="00C823C9" w:rsidRPr="00E332E7">
              <w:rPr>
                <w:rFonts w:cs="Arial"/>
                <w:sz w:val="18"/>
                <w:szCs w:val="18"/>
              </w:rPr>
              <w:t>0.1</w:t>
            </w:r>
          </w:p>
        </w:tc>
        <w:tc>
          <w:tcPr>
            <w:tcW w:w="2104" w:type="dxa"/>
          </w:tcPr>
          <w:p w14:paraId="60D9DBBE" w14:textId="77777777" w:rsidR="004455E9" w:rsidRPr="00E332E7" w:rsidRDefault="00FF159F" w:rsidP="00E332E7">
            <w:pPr>
              <w:spacing w:before="0" w:line="276" w:lineRule="auto"/>
              <w:rPr>
                <w:rFonts w:cs="Arial"/>
                <w:sz w:val="18"/>
                <w:szCs w:val="18"/>
              </w:rPr>
            </w:pPr>
            <w:r w:rsidRPr="00E332E7">
              <w:rPr>
                <w:rFonts w:cs="Arial"/>
                <w:sz w:val="18"/>
                <w:szCs w:val="18"/>
              </w:rPr>
              <w:t>HITRUST</w:t>
            </w:r>
          </w:p>
        </w:tc>
        <w:tc>
          <w:tcPr>
            <w:tcW w:w="1493" w:type="dxa"/>
          </w:tcPr>
          <w:p w14:paraId="20CFE0E4" w14:textId="77777777" w:rsidR="004455E9" w:rsidRPr="00E332E7" w:rsidRDefault="00FF159F" w:rsidP="00E332E7">
            <w:pPr>
              <w:spacing w:before="0" w:line="276" w:lineRule="auto"/>
              <w:rPr>
                <w:rFonts w:cs="Arial"/>
                <w:sz w:val="18"/>
                <w:szCs w:val="18"/>
              </w:rPr>
            </w:pPr>
            <w:r w:rsidRPr="00E332E7">
              <w:rPr>
                <w:rFonts w:cs="Arial"/>
                <w:sz w:val="18"/>
                <w:szCs w:val="18"/>
              </w:rPr>
              <w:t>HITRUST requirement</w:t>
            </w:r>
          </w:p>
        </w:tc>
        <w:tc>
          <w:tcPr>
            <w:tcW w:w="1195" w:type="dxa"/>
          </w:tcPr>
          <w:p w14:paraId="61F34EA3" w14:textId="77777777" w:rsidR="004455E9" w:rsidRPr="00E332E7" w:rsidRDefault="00FF159F" w:rsidP="00E332E7">
            <w:pPr>
              <w:spacing w:before="0" w:line="276" w:lineRule="auto"/>
              <w:rPr>
                <w:rFonts w:cs="Arial"/>
                <w:sz w:val="18"/>
                <w:szCs w:val="18"/>
              </w:rPr>
            </w:pPr>
            <w:r w:rsidRPr="00E332E7">
              <w:rPr>
                <w:rFonts w:cs="Arial"/>
                <w:sz w:val="18"/>
                <w:szCs w:val="18"/>
              </w:rPr>
              <w:t>TrangNN4</w:t>
            </w:r>
          </w:p>
        </w:tc>
        <w:tc>
          <w:tcPr>
            <w:tcW w:w="1531" w:type="dxa"/>
          </w:tcPr>
          <w:p w14:paraId="4E1CABD0" w14:textId="77777777" w:rsidR="004455E9" w:rsidRPr="00E332E7" w:rsidRDefault="00FF159F" w:rsidP="00E332E7">
            <w:pPr>
              <w:spacing w:before="0" w:line="276" w:lineRule="auto"/>
              <w:rPr>
                <w:rFonts w:cs="Arial"/>
                <w:sz w:val="18"/>
                <w:szCs w:val="18"/>
              </w:rPr>
            </w:pPr>
            <w:r w:rsidRPr="00E332E7">
              <w:rPr>
                <w:rFonts w:cs="Arial"/>
                <w:sz w:val="18"/>
                <w:szCs w:val="18"/>
              </w:rPr>
              <w:t>Michael Hering</w:t>
            </w:r>
          </w:p>
        </w:tc>
        <w:tc>
          <w:tcPr>
            <w:tcW w:w="992" w:type="dxa"/>
          </w:tcPr>
          <w:p w14:paraId="3CF83A48" w14:textId="77777777" w:rsidR="004455E9" w:rsidRPr="00E332E7" w:rsidRDefault="00FF159F" w:rsidP="00E332E7">
            <w:pPr>
              <w:spacing w:before="0" w:line="276" w:lineRule="auto"/>
              <w:rPr>
                <w:rFonts w:cs="Arial"/>
                <w:sz w:val="18"/>
                <w:szCs w:val="18"/>
              </w:rPr>
            </w:pPr>
            <w:proofErr w:type="spellStart"/>
            <w:r w:rsidRPr="00E332E7">
              <w:rPr>
                <w:rFonts w:cs="Arial"/>
                <w:sz w:val="18"/>
                <w:szCs w:val="18"/>
              </w:rPr>
              <w:t>HoanNK</w:t>
            </w:r>
            <w:proofErr w:type="spellEnd"/>
          </w:p>
        </w:tc>
      </w:tr>
      <w:tr w:rsidR="004455E9" w:rsidRPr="00E332E7" w14:paraId="2617C6C9" w14:textId="77777777" w:rsidTr="00A678DA">
        <w:trPr>
          <w:trHeight w:val="471"/>
        </w:trPr>
        <w:tc>
          <w:tcPr>
            <w:tcW w:w="474" w:type="dxa"/>
          </w:tcPr>
          <w:p w14:paraId="5BB2F4D1" w14:textId="56311409" w:rsidR="004455E9" w:rsidRPr="00E332E7" w:rsidRDefault="0001743F" w:rsidP="00E332E7">
            <w:pPr>
              <w:spacing w:before="0" w:line="276" w:lineRule="auto"/>
              <w:rPr>
                <w:rFonts w:cs="Arial"/>
                <w:sz w:val="18"/>
                <w:szCs w:val="18"/>
              </w:rPr>
            </w:pPr>
            <w:r w:rsidRPr="00E332E7">
              <w:rPr>
                <w:rFonts w:cs="Arial"/>
                <w:sz w:val="18"/>
                <w:szCs w:val="18"/>
              </w:rPr>
              <w:t>5</w:t>
            </w:r>
          </w:p>
        </w:tc>
        <w:tc>
          <w:tcPr>
            <w:tcW w:w="1517" w:type="dxa"/>
          </w:tcPr>
          <w:p w14:paraId="7B66E4D1" w14:textId="7EDF94EA" w:rsidR="004455E9" w:rsidRPr="00E332E7" w:rsidRDefault="00597166" w:rsidP="00E332E7">
            <w:pPr>
              <w:spacing w:before="0" w:line="276" w:lineRule="auto"/>
              <w:rPr>
                <w:rFonts w:cs="Arial"/>
                <w:sz w:val="18"/>
                <w:szCs w:val="18"/>
              </w:rPr>
            </w:pPr>
            <w:r w:rsidRPr="00E332E7">
              <w:rPr>
                <w:rFonts w:cs="Arial"/>
                <w:sz w:val="18"/>
                <w:szCs w:val="18"/>
              </w:rPr>
              <w:t>19</w:t>
            </w:r>
            <w:r w:rsidR="00C03907">
              <w:rPr>
                <w:rFonts w:cs="Arial"/>
                <w:sz w:val="18"/>
                <w:szCs w:val="18"/>
              </w:rPr>
              <w:t>-Oct-</w:t>
            </w:r>
            <w:r w:rsidR="0001743F" w:rsidRPr="00E332E7">
              <w:rPr>
                <w:rFonts w:cs="Arial"/>
                <w:sz w:val="18"/>
                <w:szCs w:val="18"/>
              </w:rPr>
              <w:t>2020</w:t>
            </w:r>
          </w:p>
        </w:tc>
        <w:tc>
          <w:tcPr>
            <w:tcW w:w="1043" w:type="dxa"/>
          </w:tcPr>
          <w:p w14:paraId="35651F89" w14:textId="3A29A473" w:rsidR="004455E9" w:rsidRPr="00E332E7" w:rsidRDefault="00C823C9" w:rsidP="00E332E7">
            <w:pPr>
              <w:spacing w:before="0" w:line="276" w:lineRule="auto"/>
              <w:rPr>
                <w:rFonts w:cs="Arial"/>
                <w:sz w:val="18"/>
                <w:szCs w:val="18"/>
              </w:rPr>
            </w:pPr>
            <w:r w:rsidRPr="00E332E7">
              <w:rPr>
                <w:rFonts w:cs="Arial"/>
                <w:sz w:val="18"/>
                <w:szCs w:val="18"/>
              </w:rPr>
              <w:t>2.1</w:t>
            </w:r>
          </w:p>
        </w:tc>
        <w:tc>
          <w:tcPr>
            <w:tcW w:w="2104" w:type="dxa"/>
          </w:tcPr>
          <w:p w14:paraId="03779D1F" w14:textId="08BCB7BA" w:rsidR="004455E9" w:rsidRPr="00E332E7" w:rsidRDefault="00F60986" w:rsidP="00E332E7">
            <w:pPr>
              <w:spacing w:before="0" w:line="276" w:lineRule="auto"/>
              <w:rPr>
                <w:rFonts w:cs="Arial"/>
                <w:sz w:val="18"/>
                <w:szCs w:val="18"/>
              </w:rPr>
            </w:pPr>
            <w:r w:rsidRPr="00F60986">
              <w:rPr>
                <w:rFonts w:cs="Arial"/>
                <w:sz w:val="18"/>
                <w:szCs w:val="18"/>
              </w:rPr>
              <w:t>Update sections: related document and responsibility</w:t>
            </w:r>
          </w:p>
        </w:tc>
        <w:tc>
          <w:tcPr>
            <w:tcW w:w="1493" w:type="dxa"/>
          </w:tcPr>
          <w:p w14:paraId="1ED35347" w14:textId="74CA6A06" w:rsidR="004455E9" w:rsidRPr="00E332E7" w:rsidRDefault="0001743F" w:rsidP="00E332E7">
            <w:pPr>
              <w:spacing w:before="0" w:line="276" w:lineRule="auto"/>
              <w:rPr>
                <w:rFonts w:cs="Arial"/>
                <w:sz w:val="18"/>
                <w:szCs w:val="18"/>
              </w:rPr>
            </w:pPr>
            <w:r w:rsidRPr="00E332E7">
              <w:rPr>
                <w:rFonts w:cs="Arial"/>
                <w:sz w:val="18"/>
                <w:szCs w:val="18"/>
              </w:rPr>
              <w:t>Legal requirement</w:t>
            </w:r>
          </w:p>
        </w:tc>
        <w:tc>
          <w:tcPr>
            <w:tcW w:w="1195" w:type="dxa"/>
          </w:tcPr>
          <w:p w14:paraId="2C2E9A4B" w14:textId="04A7524B" w:rsidR="004455E9" w:rsidRPr="00E332E7" w:rsidRDefault="0001743F" w:rsidP="00E332E7">
            <w:pPr>
              <w:spacing w:before="0" w:line="276" w:lineRule="auto"/>
              <w:rPr>
                <w:rFonts w:cs="Arial"/>
                <w:sz w:val="18"/>
                <w:szCs w:val="18"/>
              </w:rPr>
            </w:pPr>
            <w:r w:rsidRPr="00E332E7">
              <w:rPr>
                <w:rFonts w:cs="Arial"/>
                <w:sz w:val="18"/>
                <w:szCs w:val="18"/>
              </w:rPr>
              <w:t>TrangNN4</w:t>
            </w:r>
          </w:p>
        </w:tc>
        <w:tc>
          <w:tcPr>
            <w:tcW w:w="1531" w:type="dxa"/>
          </w:tcPr>
          <w:p w14:paraId="12E1FE60" w14:textId="4F0E41C8" w:rsidR="004455E9" w:rsidRPr="00E332E7" w:rsidRDefault="0001743F" w:rsidP="00E332E7">
            <w:pPr>
              <w:spacing w:before="0" w:line="276" w:lineRule="auto"/>
              <w:rPr>
                <w:rFonts w:cs="Arial"/>
                <w:sz w:val="18"/>
                <w:szCs w:val="18"/>
              </w:rPr>
            </w:pPr>
            <w:r w:rsidRPr="00E332E7">
              <w:rPr>
                <w:rFonts w:cs="Arial"/>
                <w:sz w:val="18"/>
                <w:szCs w:val="18"/>
              </w:rPr>
              <w:t>Michael Hering</w:t>
            </w:r>
          </w:p>
        </w:tc>
        <w:tc>
          <w:tcPr>
            <w:tcW w:w="992" w:type="dxa"/>
          </w:tcPr>
          <w:p w14:paraId="02E85529" w14:textId="6C9D1CE8" w:rsidR="004455E9" w:rsidRPr="00E332E7" w:rsidRDefault="0001743F" w:rsidP="00E332E7">
            <w:pPr>
              <w:spacing w:before="0" w:line="276" w:lineRule="auto"/>
              <w:rPr>
                <w:rFonts w:cs="Arial"/>
                <w:sz w:val="18"/>
                <w:szCs w:val="18"/>
              </w:rPr>
            </w:pPr>
            <w:proofErr w:type="spellStart"/>
            <w:r w:rsidRPr="00E332E7">
              <w:rPr>
                <w:rFonts w:cs="Arial"/>
                <w:sz w:val="18"/>
                <w:szCs w:val="18"/>
              </w:rPr>
              <w:t>HoanNK</w:t>
            </w:r>
            <w:proofErr w:type="spellEnd"/>
          </w:p>
        </w:tc>
      </w:tr>
      <w:tr w:rsidR="00CD79A8" w:rsidRPr="00E332E7" w14:paraId="1B8A31AE" w14:textId="77777777" w:rsidTr="00A678DA">
        <w:trPr>
          <w:trHeight w:val="471"/>
        </w:trPr>
        <w:tc>
          <w:tcPr>
            <w:tcW w:w="474" w:type="dxa"/>
          </w:tcPr>
          <w:p w14:paraId="107765D7" w14:textId="0E1B395F" w:rsidR="00CD79A8" w:rsidRPr="00E332E7" w:rsidRDefault="00CD79A8" w:rsidP="00CD79A8">
            <w:pPr>
              <w:spacing w:before="0" w:line="276" w:lineRule="auto"/>
              <w:rPr>
                <w:rFonts w:cs="Arial"/>
                <w:sz w:val="18"/>
                <w:szCs w:val="18"/>
              </w:rPr>
            </w:pPr>
            <w:r>
              <w:rPr>
                <w:rFonts w:cs="Arial"/>
                <w:sz w:val="18"/>
                <w:szCs w:val="18"/>
              </w:rPr>
              <w:t>6</w:t>
            </w:r>
          </w:p>
        </w:tc>
        <w:tc>
          <w:tcPr>
            <w:tcW w:w="1517" w:type="dxa"/>
          </w:tcPr>
          <w:p w14:paraId="4F8AA32D" w14:textId="521ABDC2" w:rsidR="00CD79A8" w:rsidRPr="00E332E7" w:rsidRDefault="00C03907" w:rsidP="00CD79A8">
            <w:pPr>
              <w:spacing w:before="0" w:line="276" w:lineRule="auto"/>
              <w:rPr>
                <w:rFonts w:cs="Arial"/>
                <w:sz w:val="18"/>
                <w:szCs w:val="18"/>
              </w:rPr>
            </w:pPr>
            <w:r>
              <w:rPr>
                <w:rFonts w:cs="Arial"/>
                <w:sz w:val="18"/>
                <w:szCs w:val="18"/>
              </w:rPr>
              <w:t>01-May-</w:t>
            </w:r>
            <w:r w:rsidR="00CD79A8">
              <w:rPr>
                <w:rFonts w:cs="Arial"/>
                <w:sz w:val="18"/>
                <w:szCs w:val="18"/>
              </w:rPr>
              <w:t>2021</w:t>
            </w:r>
          </w:p>
        </w:tc>
        <w:tc>
          <w:tcPr>
            <w:tcW w:w="1043" w:type="dxa"/>
          </w:tcPr>
          <w:p w14:paraId="14A2C66C" w14:textId="70C36961" w:rsidR="00CD79A8" w:rsidRPr="00E332E7" w:rsidRDefault="00CD79A8" w:rsidP="00CD79A8">
            <w:pPr>
              <w:spacing w:before="0" w:line="276" w:lineRule="auto"/>
              <w:rPr>
                <w:rFonts w:cs="Arial"/>
                <w:sz w:val="18"/>
                <w:szCs w:val="18"/>
              </w:rPr>
            </w:pPr>
            <w:r>
              <w:rPr>
                <w:rFonts w:cs="Arial"/>
                <w:sz w:val="18"/>
                <w:szCs w:val="18"/>
              </w:rPr>
              <w:t>3.0</w:t>
            </w:r>
          </w:p>
        </w:tc>
        <w:tc>
          <w:tcPr>
            <w:tcW w:w="2104" w:type="dxa"/>
          </w:tcPr>
          <w:p w14:paraId="76CB93D6" w14:textId="77777777" w:rsidR="00CD79A8" w:rsidRDefault="00CD79A8" w:rsidP="00CD79A8">
            <w:pPr>
              <w:spacing w:before="0" w:line="276" w:lineRule="auto"/>
              <w:rPr>
                <w:rFonts w:cs="Arial"/>
                <w:sz w:val="18"/>
                <w:szCs w:val="18"/>
              </w:rPr>
            </w:pPr>
            <w:r>
              <w:rPr>
                <w:rFonts w:cs="Arial"/>
                <w:sz w:val="18"/>
                <w:szCs w:val="18"/>
              </w:rPr>
              <w:t>Change the document restructure.</w:t>
            </w:r>
          </w:p>
          <w:p w14:paraId="77F9952C" w14:textId="305AA40E" w:rsidR="00CD79A8" w:rsidRDefault="00CD79A8" w:rsidP="00CD79A8">
            <w:pPr>
              <w:spacing w:before="0" w:line="276" w:lineRule="auto"/>
              <w:rPr>
                <w:rFonts w:cs="Arial"/>
                <w:sz w:val="18"/>
                <w:szCs w:val="18"/>
              </w:rPr>
            </w:pPr>
            <w:r>
              <w:rPr>
                <w:rFonts w:cs="Arial"/>
                <w:sz w:val="18"/>
                <w:szCs w:val="18"/>
              </w:rPr>
              <w:t>Update sections:</w:t>
            </w:r>
            <w:r w:rsidR="00202FC5">
              <w:rPr>
                <w:rFonts w:cs="Arial"/>
                <w:sz w:val="18"/>
                <w:szCs w:val="18"/>
              </w:rPr>
              <w:t xml:space="preserve"> Purpose, Responsibility, Data Classification Essentials, Related Document</w:t>
            </w:r>
          </w:p>
          <w:p w14:paraId="43A2E53E" w14:textId="1ABFE94E" w:rsidR="00CD79A8" w:rsidRPr="00F60986" w:rsidRDefault="00CD79A8" w:rsidP="00CD79A8">
            <w:pPr>
              <w:spacing w:before="0" w:line="276" w:lineRule="auto"/>
              <w:rPr>
                <w:rFonts w:cs="Arial"/>
                <w:sz w:val="18"/>
                <w:szCs w:val="18"/>
              </w:rPr>
            </w:pPr>
            <w:r>
              <w:rPr>
                <w:rFonts w:cs="Arial"/>
                <w:sz w:val="18"/>
                <w:szCs w:val="18"/>
              </w:rPr>
              <w:t>Add 3.3. Example PII</w:t>
            </w:r>
          </w:p>
        </w:tc>
        <w:tc>
          <w:tcPr>
            <w:tcW w:w="1493" w:type="dxa"/>
          </w:tcPr>
          <w:p w14:paraId="5B41445A" w14:textId="5A84BC16" w:rsidR="00CD79A8" w:rsidRPr="00E332E7" w:rsidRDefault="00CD79A8" w:rsidP="00CD79A8">
            <w:pPr>
              <w:spacing w:before="0" w:line="276" w:lineRule="auto"/>
              <w:rPr>
                <w:rFonts w:cs="Arial"/>
                <w:sz w:val="18"/>
                <w:szCs w:val="18"/>
              </w:rPr>
            </w:pPr>
            <w:r w:rsidRPr="00E332E7">
              <w:rPr>
                <w:rFonts w:cs="Arial"/>
                <w:sz w:val="18"/>
                <w:szCs w:val="18"/>
              </w:rPr>
              <w:t>Legal requirement</w:t>
            </w:r>
          </w:p>
        </w:tc>
        <w:tc>
          <w:tcPr>
            <w:tcW w:w="1195" w:type="dxa"/>
          </w:tcPr>
          <w:p w14:paraId="71E81FD0" w14:textId="3130780D" w:rsidR="00CD79A8" w:rsidRPr="00E332E7" w:rsidRDefault="00CD79A8" w:rsidP="00CD79A8">
            <w:pPr>
              <w:spacing w:before="0" w:line="276" w:lineRule="auto"/>
              <w:rPr>
                <w:rFonts w:cs="Arial"/>
                <w:sz w:val="18"/>
                <w:szCs w:val="18"/>
              </w:rPr>
            </w:pPr>
            <w:r w:rsidRPr="00E332E7">
              <w:rPr>
                <w:rFonts w:cs="Arial"/>
                <w:sz w:val="18"/>
                <w:szCs w:val="18"/>
              </w:rPr>
              <w:t>TrangNN4</w:t>
            </w:r>
          </w:p>
        </w:tc>
        <w:tc>
          <w:tcPr>
            <w:tcW w:w="1531" w:type="dxa"/>
          </w:tcPr>
          <w:p w14:paraId="711956B6" w14:textId="2B7A5F51" w:rsidR="00CD79A8" w:rsidRPr="00E332E7" w:rsidRDefault="00CD79A8" w:rsidP="00CD79A8">
            <w:pPr>
              <w:spacing w:before="0" w:line="276" w:lineRule="auto"/>
              <w:rPr>
                <w:rFonts w:cs="Arial"/>
                <w:sz w:val="18"/>
                <w:szCs w:val="18"/>
              </w:rPr>
            </w:pPr>
            <w:r w:rsidRPr="00E332E7">
              <w:rPr>
                <w:rFonts w:cs="Arial"/>
                <w:sz w:val="18"/>
                <w:szCs w:val="18"/>
              </w:rPr>
              <w:t>Michael Hering</w:t>
            </w:r>
          </w:p>
        </w:tc>
        <w:tc>
          <w:tcPr>
            <w:tcW w:w="992" w:type="dxa"/>
          </w:tcPr>
          <w:p w14:paraId="74207089" w14:textId="10A7830A" w:rsidR="00CD79A8" w:rsidRPr="00E332E7" w:rsidRDefault="00CD79A8" w:rsidP="00CD79A8">
            <w:pPr>
              <w:spacing w:before="0" w:line="276" w:lineRule="auto"/>
              <w:rPr>
                <w:rFonts w:cs="Arial"/>
                <w:sz w:val="18"/>
                <w:szCs w:val="18"/>
              </w:rPr>
            </w:pPr>
            <w:proofErr w:type="spellStart"/>
            <w:r w:rsidRPr="00E332E7">
              <w:rPr>
                <w:rFonts w:cs="Arial"/>
                <w:sz w:val="18"/>
                <w:szCs w:val="18"/>
              </w:rPr>
              <w:t>HoanNK</w:t>
            </w:r>
            <w:proofErr w:type="spellEnd"/>
          </w:p>
        </w:tc>
      </w:tr>
      <w:tr w:rsidR="00F72A4D" w:rsidRPr="00E332E7" w14:paraId="3EBF3909" w14:textId="77777777" w:rsidTr="0012096C">
        <w:trPr>
          <w:trHeight w:val="471"/>
        </w:trPr>
        <w:tc>
          <w:tcPr>
            <w:tcW w:w="474" w:type="dxa"/>
          </w:tcPr>
          <w:p w14:paraId="574B8797" w14:textId="77777777" w:rsidR="00F72A4D" w:rsidRPr="00E332E7" w:rsidRDefault="00F72A4D" w:rsidP="0012096C">
            <w:pPr>
              <w:spacing w:before="0" w:line="276" w:lineRule="auto"/>
              <w:rPr>
                <w:rFonts w:cs="Arial"/>
                <w:sz w:val="18"/>
                <w:szCs w:val="18"/>
              </w:rPr>
            </w:pPr>
            <w:r>
              <w:rPr>
                <w:rFonts w:cs="Arial"/>
                <w:sz w:val="18"/>
                <w:szCs w:val="18"/>
              </w:rPr>
              <w:t>6</w:t>
            </w:r>
          </w:p>
        </w:tc>
        <w:tc>
          <w:tcPr>
            <w:tcW w:w="1517" w:type="dxa"/>
          </w:tcPr>
          <w:p w14:paraId="079D8E9D" w14:textId="60D69B6F" w:rsidR="00F72A4D" w:rsidRPr="00E332E7" w:rsidRDefault="00C03907" w:rsidP="0012096C">
            <w:pPr>
              <w:spacing w:before="0" w:line="276" w:lineRule="auto"/>
              <w:rPr>
                <w:rFonts w:cs="Arial"/>
                <w:sz w:val="18"/>
                <w:szCs w:val="18"/>
              </w:rPr>
            </w:pPr>
            <w:r>
              <w:rPr>
                <w:rFonts w:cs="Arial"/>
                <w:sz w:val="18"/>
                <w:szCs w:val="18"/>
              </w:rPr>
              <w:t>01-Oct-</w:t>
            </w:r>
            <w:r w:rsidR="00F72A4D">
              <w:rPr>
                <w:rFonts w:cs="Arial"/>
                <w:sz w:val="18"/>
                <w:szCs w:val="18"/>
              </w:rPr>
              <w:t>2021</w:t>
            </w:r>
          </w:p>
        </w:tc>
        <w:tc>
          <w:tcPr>
            <w:tcW w:w="1043" w:type="dxa"/>
          </w:tcPr>
          <w:p w14:paraId="4274DFF2" w14:textId="01E4D8C8" w:rsidR="00F72A4D" w:rsidRPr="00E332E7" w:rsidRDefault="00F72A4D" w:rsidP="0012096C">
            <w:pPr>
              <w:spacing w:before="0" w:line="276" w:lineRule="auto"/>
              <w:rPr>
                <w:rFonts w:cs="Arial"/>
                <w:sz w:val="18"/>
                <w:szCs w:val="18"/>
              </w:rPr>
            </w:pPr>
            <w:r>
              <w:rPr>
                <w:rFonts w:cs="Arial"/>
                <w:sz w:val="18"/>
                <w:szCs w:val="18"/>
              </w:rPr>
              <w:t>3.1</w:t>
            </w:r>
          </w:p>
        </w:tc>
        <w:tc>
          <w:tcPr>
            <w:tcW w:w="2104" w:type="dxa"/>
          </w:tcPr>
          <w:p w14:paraId="0CBD2FEF" w14:textId="4195479D" w:rsidR="00F72A4D" w:rsidRPr="00F60986" w:rsidRDefault="00F72A4D" w:rsidP="0012096C">
            <w:pPr>
              <w:spacing w:before="0" w:line="276" w:lineRule="auto"/>
              <w:rPr>
                <w:rFonts w:cs="Arial"/>
                <w:sz w:val="18"/>
                <w:szCs w:val="18"/>
              </w:rPr>
            </w:pPr>
            <w:r>
              <w:rPr>
                <w:rFonts w:cs="Arial"/>
                <w:sz w:val="18"/>
                <w:szCs w:val="18"/>
              </w:rPr>
              <w:t xml:space="preserve">1 added: </w:t>
            </w:r>
            <w:r>
              <w:t xml:space="preserve">Personal Data Protection Handbook and IMS guidelines, 1.2 added: </w:t>
            </w:r>
            <w:proofErr w:type="spellStart"/>
            <w:r w:rsidRPr="00F72A4D">
              <w:t>statement_PIMS</w:t>
            </w:r>
            <w:proofErr w:type="spellEnd"/>
            <w:r w:rsidRPr="00F72A4D">
              <w:t xml:space="preserve"> scope_V1.0</w:t>
            </w:r>
            <w:r w:rsidR="0034528C">
              <w:t>, 2.2 added: DPO Tool</w:t>
            </w:r>
          </w:p>
        </w:tc>
        <w:tc>
          <w:tcPr>
            <w:tcW w:w="1493" w:type="dxa"/>
          </w:tcPr>
          <w:p w14:paraId="50E48CA9" w14:textId="77777777" w:rsidR="00F72A4D" w:rsidRPr="00E332E7" w:rsidRDefault="00F72A4D" w:rsidP="0012096C">
            <w:pPr>
              <w:spacing w:before="0" w:line="276" w:lineRule="auto"/>
              <w:rPr>
                <w:rFonts w:cs="Arial"/>
                <w:sz w:val="18"/>
                <w:szCs w:val="18"/>
              </w:rPr>
            </w:pPr>
            <w:r w:rsidRPr="00E332E7">
              <w:rPr>
                <w:rFonts w:cs="Arial"/>
                <w:sz w:val="18"/>
                <w:szCs w:val="18"/>
              </w:rPr>
              <w:t>Legal requirement</w:t>
            </w:r>
          </w:p>
        </w:tc>
        <w:tc>
          <w:tcPr>
            <w:tcW w:w="1195" w:type="dxa"/>
          </w:tcPr>
          <w:p w14:paraId="6AF50902" w14:textId="77777777" w:rsidR="00F72A4D" w:rsidRPr="00E332E7" w:rsidRDefault="00F72A4D" w:rsidP="0012096C">
            <w:pPr>
              <w:spacing w:before="0" w:line="276" w:lineRule="auto"/>
              <w:rPr>
                <w:rFonts w:cs="Arial"/>
                <w:sz w:val="18"/>
                <w:szCs w:val="18"/>
              </w:rPr>
            </w:pPr>
            <w:r w:rsidRPr="00E332E7">
              <w:rPr>
                <w:rFonts w:cs="Arial"/>
                <w:sz w:val="18"/>
                <w:szCs w:val="18"/>
              </w:rPr>
              <w:t>TrangNN4</w:t>
            </w:r>
          </w:p>
        </w:tc>
        <w:tc>
          <w:tcPr>
            <w:tcW w:w="1531" w:type="dxa"/>
          </w:tcPr>
          <w:p w14:paraId="556774DB" w14:textId="77777777" w:rsidR="00F72A4D" w:rsidRPr="00E332E7" w:rsidRDefault="00F72A4D" w:rsidP="0012096C">
            <w:pPr>
              <w:spacing w:before="0" w:line="276" w:lineRule="auto"/>
              <w:rPr>
                <w:rFonts w:cs="Arial"/>
                <w:sz w:val="18"/>
                <w:szCs w:val="18"/>
              </w:rPr>
            </w:pPr>
            <w:r w:rsidRPr="00E332E7">
              <w:rPr>
                <w:rFonts w:cs="Arial"/>
                <w:sz w:val="18"/>
                <w:szCs w:val="18"/>
              </w:rPr>
              <w:t>Michael Hering</w:t>
            </w:r>
          </w:p>
        </w:tc>
        <w:tc>
          <w:tcPr>
            <w:tcW w:w="992" w:type="dxa"/>
          </w:tcPr>
          <w:p w14:paraId="7CFADB62" w14:textId="77777777" w:rsidR="00F72A4D" w:rsidRPr="00E332E7" w:rsidRDefault="00F72A4D" w:rsidP="0012096C">
            <w:pPr>
              <w:spacing w:before="0" w:line="276" w:lineRule="auto"/>
              <w:rPr>
                <w:rFonts w:cs="Arial"/>
                <w:sz w:val="18"/>
                <w:szCs w:val="18"/>
              </w:rPr>
            </w:pPr>
            <w:proofErr w:type="spellStart"/>
            <w:r w:rsidRPr="00E332E7">
              <w:rPr>
                <w:rFonts w:cs="Arial"/>
                <w:sz w:val="18"/>
                <w:szCs w:val="18"/>
              </w:rPr>
              <w:t>HoanNK</w:t>
            </w:r>
            <w:proofErr w:type="spellEnd"/>
          </w:p>
        </w:tc>
      </w:tr>
      <w:tr w:rsidR="00F85B03" w:rsidRPr="00E332E7" w14:paraId="0DAAB0A0" w14:textId="77777777" w:rsidTr="0012096C">
        <w:trPr>
          <w:trHeight w:val="471"/>
        </w:trPr>
        <w:tc>
          <w:tcPr>
            <w:tcW w:w="474" w:type="dxa"/>
          </w:tcPr>
          <w:p w14:paraId="0B3852C6" w14:textId="6846AB03" w:rsidR="00F85B03" w:rsidRDefault="00F85B03" w:rsidP="0012096C">
            <w:pPr>
              <w:spacing w:before="0" w:line="276" w:lineRule="auto"/>
              <w:rPr>
                <w:rFonts w:cs="Arial"/>
                <w:sz w:val="18"/>
                <w:szCs w:val="18"/>
              </w:rPr>
            </w:pPr>
            <w:r>
              <w:rPr>
                <w:rFonts w:cs="Arial"/>
                <w:sz w:val="18"/>
                <w:szCs w:val="18"/>
              </w:rPr>
              <w:t>7</w:t>
            </w:r>
          </w:p>
        </w:tc>
        <w:tc>
          <w:tcPr>
            <w:tcW w:w="1517" w:type="dxa"/>
          </w:tcPr>
          <w:p w14:paraId="0ACC2118" w14:textId="36450D6C" w:rsidR="00F85B03" w:rsidRDefault="00C03907" w:rsidP="0012096C">
            <w:pPr>
              <w:spacing w:before="0" w:line="276" w:lineRule="auto"/>
              <w:rPr>
                <w:rFonts w:cs="Arial"/>
                <w:sz w:val="18"/>
                <w:szCs w:val="18"/>
              </w:rPr>
            </w:pPr>
            <w:r>
              <w:rPr>
                <w:rFonts w:cs="Arial"/>
                <w:sz w:val="18"/>
                <w:szCs w:val="18"/>
              </w:rPr>
              <w:t>01-Apr-</w:t>
            </w:r>
            <w:r w:rsidR="00F85B03">
              <w:rPr>
                <w:rFonts w:cs="Arial"/>
                <w:sz w:val="18"/>
                <w:szCs w:val="18"/>
              </w:rPr>
              <w:t>2022</w:t>
            </w:r>
          </w:p>
        </w:tc>
        <w:tc>
          <w:tcPr>
            <w:tcW w:w="1043" w:type="dxa"/>
          </w:tcPr>
          <w:p w14:paraId="541E3ACF" w14:textId="04D4A838" w:rsidR="00F85B03" w:rsidRDefault="00F85B03" w:rsidP="0012096C">
            <w:pPr>
              <w:spacing w:before="0" w:line="276" w:lineRule="auto"/>
              <w:rPr>
                <w:rFonts w:cs="Arial"/>
                <w:sz w:val="18"/>
                <w:szCs w:val="18"/>
              </w:rPr>
            </w:pPr>
            <w:r>
              <w:rPr>
                <w:rFonts w:cs="Arial"/>
                <w:sz w:val="18"/>
                <w:szCs w:val="18"/>
              </w:rPr>
              <w:t>3.2</w:t>
            </w:r>
          </w:p>
        </w:tc>
        <w:tc>
          <w:tcPr>
            <w:tcW w:w="2104" w:type="dxa"/>
          </w:tcPr>
          <w:p w14:paraId="30A5AB8B" w14:textId="77777777" w:rsidR="00734F9C" w:rsidRDefault="00734F9C" w:rsidP="00734F9C">
            <w:pPr>
              <w:spacing w:before="0" w:line="276" w:lineRule="auto"/>
              <w:rPr>
                <w:rFonts w:cs="Arial"/>
                <w:sz w:val="18"/>
                <w:szCs w:val="18"/>
              </w:rPr>
            </w:pPr>
            <w:r w:rsidRPr="007516CD">
              <w:rPr>
                <w:rFonts w:cs="Arial"/>
                <w:iCs/>
                <w:sz w:val="18"/>
                <w:szCs w:val="18"/>
              </w:rPr>
              <w:t xml:space="preserve">1.2 added: </w:t>
            </w:r>
            <w:proofErr w:type="spellStart"/>
            <w:r w:rsidRPr="007516CD">
              <w:rPr>
                <w:rFonts w:cs="Arial"/>
                <w:sz w:val="18"/>
                <w:szCs w:val="18"/>
              </w:rPr>
              <w:t>Policy_PIMS</w:t>
            </w:r>
            <w:proofErr w:type="spellEnd"/>
            <w:r w:rsidRPr="007516CD">
              <w:rPr>
                <w:rFonts w:cs="Arial"/>
                <w:sz w:val="18"/>
                <w:szCs w:val="18"/>
              </w:rPr>
              <w:t xml:space="preserve"> scope_V1.1</w:t>
            </w:r>
          </w:p>
          <w:p w14:paraId="08BC191D" w14:textId="6EB35D7C" w:rsidR="00734F9C" w:rsidRPr="001B2A0A" w:rsidRDefault="00734F9C" w:rsidP="00734F9C">
            <w:pPr>
              <w:spacing w:before="0" w:line="276" w:lineRule="auto"/>
              <w:rPr>
                <w:rFonts w:cs="Arial"/>
                <w:iCs/>
                <w:sz w:val="18"/>
                <w:szCs w:val="18"/>
              </w:rPr>
            </w:pPr>
            <w:r>
              <w:rPr>
                <w:rFonts w:cs="Arial"/>
                <w:iCs/>
                <w:sz w:val="18"/>
                <w:szCs w:val="18"/>
              </w:rPr>
              <w:t>3.1 14 added PIPL,</w:t>
            </w:r>
            <w:r>
              <w:rPr>
                <w:rFonts w:cs="Arial"/>
                <w:iCs/>
                <w:sz w:val="18"/>
                <w:szCs w:val="18"/>
              </w:rPr>
              <w:br/>
              <w:t>3</w:t>
            </w:r>
            <w:r w:rsidRPr="001B2A0A">
              <w:rPr>
                <w:rFonts w:cs="Arial"/>
                <w:iCs/>
                <w:sz w:val="18"/>
                <w:szCs w:val="18"/>
              </w:rPr>
              <w:t>.</w:t>
            </w:r>
            <w:r>
              <w:rPr>
                <w:rFonts w:cs="Arial"/>
                <w:iCs/>
                <w:sz w:val="18"/>
                <w:szCs w:val="18"/>
              </w:rPr>
              <w:t>1</w:t>
            </w:r>
            <w:r w:rsidRPr="001B2A0A">
              <w:rPr>
                <w:rFonts w:cs="Arial"/>
                <w:iCs/>
                <w:sz w:val="18"/>
                <w:szCs w:val="18"/>
              </w:rPr>
              <w:t xml:space="preserve"> 1</w:t>
            </w:r>
            <w:r>
              <w:rPr>
                <w:rFonts w:cs="Arial"/>
                <w:iCs/>
                <w:sz w:val="18"/>
                <w:szCs w:val="18"/>
              </w:rPr>
              <w:t>5</w:t>
            </w:r>
            <w:r w:rsidRPr="001B2A0A">
              <w:rPr>
                <w:rFonts w:cs="Arial"/>
                <w:iCs/>
                <w:sz w:val="18"/>
                <w:szCs w:val="18"/>
              </w:rPr>
              <w:t xml:space="preserve"> added: </w:t>
            </w:r>
            <w:r w:rsidRPr="001B2A0A">
              <w:rPr>
                <w:rFonts w:cs="Arial"/>
                <w:sz w:val="18"/>
                <w:szCs w:val="18"/>
              </w:rPr>
              <w:t>PDPL, UAR, Decree-Law No. 45 of 2021</w:t>
            </w:r>
          </w:p>
          <w:p w14:paraId="331C1BEB" w14:textId="5B399C50" w:rsidR="00734F9C" w:rsidRPr="001B2A0A" w:rsidRDefault="00734F9C" w:rsidP="00734F9C">
            <w:pPr>
              <w:spacing w:before="0" w:line="276" w:lineRule="auto"/>
              <w:rPr>
                <w:rFonts w:cs="Arial"/>
                <w:iCs/>
                <w:sz w:val="18"/>
                <w:szCs w:val="18"/>
              </w:rPr>
            </w:pPr>
            <w:r>
              <w:rPr>
                <w:rFonts w:cs="Arial"/>
                <w:iCs/>
                <w:sz w:val="18"/>
                <w:szCs w:val="18"/>
              </w:rPr>
              <w:t>3</w:t>
            </w:r>
            <w:r w:rsidRPr="001B2A0A">
              <w:rPr>
                <w:rFonts w:cs="Arial"/>
                <w:iCs/>
                <w:sz w:val="18"/>
                <w:szCs w:val="18"/>
              </w:rPr>
              <w:t>.</w:t>
            </w:r>
            <w:r>
              <w:rPr>
                <w:rFonts w:cs="Arial"/>
                <w:iCs/>
                <w:sz w:val="18"/>
                <w:szCs w:val="18"/>
              </w:rPr>
              <w:t>1</w:t>
            </w:r>
            <w:r w:rsidRPr="001B2A0A">
              <w:rPr>
                <w:rFonts w:cs="Arial"/>
                <w:iCs/>
                <w:sz w:val="18"/>
                <w:szCs w:val="18"/>
              </w:rPr>
              <w:t xml:space="preserve"> 1</w:t>
            </w:r>
            <w:r>
              <w:rPr>
                <w:rFonts w:cs="Arial"/>
                <w:iCs/>
                <w:sz w:val="18"/>
                <w:szCs w:val="18"/>
              </w:rPr>
              <w:t>7</w:t>
            </w:r>
            <w:r w:rsidRPr="001B2A0A">
              <w:rPr>
                <w:rFonts w:cs="Arial"/>
                <w:iCs/>
                <w:sz w:val="18"/>
                <w:szCs w:val="18"/>
              </w:rPr>
              <w:t xml:space="preserve"> added: Decree of the Vietnamese Government: </w:t>
            </w:r>
            <w:r w:rsidRPr="001B2A0A">
              <w:rPr>
                <w:rFonts w:cs="Arial"/>
                <w:iCs/>
                <w:sz w:val="18"/>
                <w:szCs w:val="18"/>
              </w:rPr>
              <w:br/>
            </w:r>
            <w:proofErr w:type="spellStart"/>
            <w:r w:rsidRPr="001B2A0A">
              <w:rPr>
                <w:rFonts w:cs="Arial"/>
                <w:iCs/>
                <w:sz w:val="18"/>
                <w:szCs w:val="18"/>
              </w:rPr>
              <w:t>Nghị</w:t>
            </w:r>
            <w:proofErr w:type="spellEnd"/>
            <w:r w:rsidRPr="001B2A0A">
              <w:rPr>
                <w:rFonts w:cs="Arial"/>
                <w:iCs/>
                <w:sz w:val="18"/>
                <w:szCs w:val="18"/>
              </w:rPr>
              <w:t xml:space="preserve"> </w:t>
            </w:r>
            <w:proofErr w:type="spellStart"/>
            <w:r w:rsidRPr="001B2A0A">
              <w:rPr>
                <w:rFonts w:cs="Arial"/>
                <w:iCs/>
                <w:sz w:val="18"/>
                <w:szCs w:val="18"/>
              </w:rPr>
              <w:t>Định</w:t>
            </w:r>
            <w:proofErr w:type="spellEnd"/>
            <w:r w:rsidRPr="001B2A0A">
              <w:rPr>
                <w:rFonts w:cs="Arial"/>
                <w:iCs/>
                <w:sz w:val="18"/>
                <w:szCs w:val="18"/>
              </w:rPr>
              <w:t xml:space="preserve"> </w:t>
            </w:r>
            <w:proofErr w:type="spellStart"/>
            <w:r w:rsidRPr="001B2A0A">
              <w:rPr>
                <w:rFonts w:cs="Arial"/>
                <w:iCs/>
                <w:sz w:val="18"/>
                <w:szCs w:val="18"/>
              </w:rPr>
              <w:t>Quy</w:t>
            </w:r>
            <w:proofErr w:type="spellEnd"/>
            <w:r w:rsidRPr="001B2A0A">
              <w:rPr>
                <w:rFonts w:cs="Arial"/>
                <w:iCs/>
                <w:sz w:val="18"/>
                <w:szCs w:val="18"/>
              </w:rPr>
              <w:t xml:space="preserve"> </w:t>
            </w:r>
            <w:proofErr w:type="spellStart"/>
            <w:r w:rsidRPr="001B2A0A">
              <w:rPr>
                <w:rFonts w:cs="Arial"/>
                <w:iCs/>
                <w:sz w:val="18"/>
                <w:szCs w:val="18"/>
              </w:rPr>
              <w:t>Định</w:t>
            </w:r>
            <w:proofErr w:type="spellEnd"/>
            <w:r w:rsidRPr="001B2A0A">
              <w:rPr>
                <w:rFonts w:cs="Arial"/>
                <w:iCs/>
                <w:sz w:val="18"/>
                <w:szCs w:val="18"/>
              </w:rPr>
              <w:t xml:space="preserve"> </w:t>
            </w:r>
            <w:proofErr w:type="spellStart"/>
            <w:r w:rsidRPr="001B2A0A">
              <w:rPr>
                <w:rFonts w:cs="Arial"/>
                <w:iCs/>
                <w:sz w:val="18"/>
                <w:szCs w:val="18"/>
              </w:rPr>
              <w:t>Về</w:t>
            </w:r>
            <w:proofErr w:type="spellEnd"/>
            <w:r w:rsidRPr="001B2A0A">
              <w:rPr>
                <w:rFonts w:cs="Arial"/>
                <w:iCs/>
                <w:sz w:val="18"/>
                <w:szCs w:val="18"/>
              </w:rPr>
              <w:t xml:space="preserve"> </w:t>
            </w:r>
            <w:proofErr w:type="spellStart"/>
            <w:r w:rsidRPr="001B2A0A">
              <w:rPr>
                <w:rFonts w:cs="Arial"/>
                <w:iCs/>
                <w:sz w:val="18"/>
                <w:szCs w:val="18"/>
              </w:rPr>
              <w:t>Bảo</w:t>
            </w:r>
            <w:proofErr w:type="spellEnd"/>
            <w:r w:rsidRPr="001B2A0A">
              <w:rPr>
                <w:rFonts w:cs="Arial"/>
                <w:iCs/>
                <w:sz w:val="18"/>
                <w:szCs w:val="18"/>
              </w:rPr>
              <w:t xml:space="preserve"> </w:t>
            </w:r>
            <w:proofErr w:type="spellStart"/>
            <w:r w:rsidRPr="001B2A0A">
              <w:rPr>
                <w:rFonts w:cs="Arial"/>
                <w:iCs/>
                <w:sz w:val="18"/>
                <w:szCs w:val="18"/>
              </w:rPr>
              <w:t>Vệ</w:t>
            </w:r>
            <w:proofErr w:type="spellEnd"/>
            <w:r w:rsidRPr="001B2A0A">
              <w:rPr>
                <w:rFonts w:cs="Arial"/>
                <w:iCs/>
                <w:sz w:val="18"/>
                <w:szCs w:val="18"/>
              </w:rPr>
              <w:t xml:space="preserve"> </w:t>
            </w:r>
            <w:proofErr w:type="spellStart"/>
            <w:r w:rsidRPr="001B2A0A">
              <w:rPr>
                <w:rFonts w:cs="Arial"/>
                <w:iCs/>
                <w:sz w:val="18"/>
                <w:szCs w:val="18"/>
              </w:rPr>
              <w:t>Dữ</w:t>
            </w:r>
            <w:proofErr w:type="spellEnd"/>
            <w:r w:rsidRPr="001B2A0A">
              <w:rPr>
                <w:rFonts w:cs="Arial"/>
                <w:iCs/>
                <w:sz w:val="18"/>
                <w:szCs w:val="18"/>
              </w:rPr>
              <w:t xml:space="preserve"> </w:t>
            </w:r>
            <w:proofErr w:type="spellStart"/>
            <w:r w:rsidRPr="001B2A0A">
              <w:rPr>
                <w:rFonts w:cs="Arial"/>
                <w:iCs/>
                <w:sz w:val="18"/>
                <w:szCs w:val="18"/>
              </w:rPr>
              <w:t>Liệu</w:t>
            </w:r>
            <w:proofErr w:type="spellEnd"/>
            <w:r w:rsidRPr="001B2A0A">
              <w:rPr>
                <w:rFonts w:cs="Arial"/>
                <w:iCs/>
                <w:sz w:val="18"/>
                <w:szCs w:val="18"/>
              </w:rPr>
              <w:t xml:space="preserve"> </w:t>
            </w:r>
            <w:proofErr w:type="spellStart"/>
            <w:r w:rsidRPr="001B2A0A">
              <w:rPr>
                <w:rFonts w:cs="Arial"/>
                <w:iCs/>
                <w:sz w:val="18"/>
                <w:szCs w:val="18"/>
              </w:rPr>
              <w:t>Cá</w:t>
            </w:r>
            <w:proofErr w:type="spellEnd"/>
            <w:r w:rsidRPr="001B2A0A">
              <w:rPr>
                <w:rFonts w:cs="Arial"/>
                <w:iCs/>
                <w:sz w:val="18"/>
                <w:szCs w:val="18"/>
              </w:rPr>
              <w:t xml:space="preserve"> </w:t>
            </w:r>
            <w:proofErr w:type="spellStart"/>
            <w:r w:rsidRPr="001B2A0A">
              <w:rPr>
                <w:rFonts w:cs="Arial"/>
                <w:iCs/>
                <w:sz w:val="18"/>
                <w:szCs w:val="18"/>
              </w:rPr>
              <w:t>Nhân</w:t>
            </w:r>
            <w:proofErr w:type="spellEnd"/>
          </w:p>
          <w:p w14:paraId="26C2EDAB" w14:textId="04422053" w:rsidR="00F85B03" w:rsidRDefault="00734F9C" w:rsidP="00734F9C">
            <w:pPr>
              <w:spacing w:before="0" w:line="276" w:lineRule="auto"/>
              <w:rPr>
                <w:rFonts w:cs="Arial"/>
                <w:sz w:val="18"/>
                <w:szCs w:val="18"/>
              </w:rPr>
            </w:pPr>
            <w:r>
              <w:rPr>
                <w:rFonts w:cs="Arial"/>
                <w:sz w:val="18"/>
                <w:szCs w:val="18"/>
              </w:rPr>
              <w:lastRenderedPageBreak/>
              <w:t>3</w:t>
            </w:r>
            <w:r w:rsidRPr="001B2A0A">
              <w:rPr>
                <w:rFonts w:cs="Arial"/>
                <w:sz w:val="18"/>
                <w:szCs w:val="18"/>
              </w:rPr>
              <w:t>.</w:t>
            </w:r>
            <w:r>
              <w:rPr>
                <w:rFonts w:cs="Arial"/>
                <w:sz w:val="18"/>
                <w:szCs w:val="18"/>
              </w:rPr>
              <w:t>1</w:t>
            </w:r>
            <w:r w:rsidRPr="001B2A0A">
              <w:rPr>
                <w:rFonts w:cs="Arial"/>
                <w:sz w:val="18"/>
                <w:szCs w:val="18"/>
              </w:rPr>
              <w:t xml:space="preserve"> 1</w:t>
            </w:r>
            <w:r>
              <w:rPr>
                <w:rFonts w:cs="Arial"/>
                <w:sz w:val="18"/>
                <w:szCs w:val="18"/>
              </w:rPr>
              <w:t>8</w:t>
            </w:r>
            <w:r w:rsidRPr="001B2A0A">
              <w:rPr>
                <w:rFonts w:cs="Arial"/>
                <w:sz w:val="18"/>
                <w:szCs w:val="18"/>
              </w:rPr>
              <w:t xml:space="preserve"> PDP_ Handbook_Version_V3.2</w:t>
            </w:r>
          </w:p>
        </w:tc>
        <w:tc>
          <w:tcPr>
            <w:tcW w:w="1493" w:type="dxa"/>
          </w:tcPr>
          <w:p w14:paraId="1F248420" w14:textId="67A2DEBC" w:rsidR="00F85B03" w:rsidRPr="00E332E7" w:rsidRDefault="00F85B03" w:rsidP="0012096C">
            <w:pPr>
              <w:spacing w:before="0" w:line="276" w:lineRule="auto"/>
              <w:rPr>
                <w:rFonts w:cs="Arial"/>
                <w:sz w:val="18"/>
                <w:szCs w:val="18"/>
              </w:rPr>
            </w:pPr>
            <w:r>
              <w:rPr>
                <w:rFonts w:cs="Arial"/>
                <w:sz w:val="18"/>
                <w:szCs w:val="18"/>
              </w:rPr>
              <w:lastRenderedPageBreak/>
              <w:t>Biannually revision</w:t>
            </w:r>
          </w:p>
        </w:tc>
        <w:tc>
          <w:tcPr>
            <w:tcW w:w="1195" w:type="dxa"/>
          </w:tcPr>
          <w:p w14:paraId="56ED92A5" w14:textId="5D1FBE08" w:rsidR="00F85B03" w:rsidRPr="00E332E7" w:rsidRDefault="00F85B03" w:rsidP="0012096C">
            <w:pPr>
              <w:spacing w:before="0" w:line="276" w:lineRule="auto"/>
              <w:rPr>
                <w:rFonts w:cs="Arial"/>
                <w:sz w:val="18"/>
                <w:szCs w:val="18"/>
              </w:rPr>
            </w:pPr>
            <w:r>
              <w:rPr>
                <w:rFonts w:cs="Arial"/>
                <w:sz w:val="18"/>
                <w:szCs w:val="18"/>
              </w:rPr>
              <w:t>LinhDTD1</w:t>
            </w:r>
          </w:p>
        </w:tc>
        <w:tc>
          <w:tcPr>
            <w:tcW w:w="1531" w:type="dxa"/>
          </w:tcPr>
          <w:p w14:paraId="731FA7AB" w14:textId="2F95412B" w:rsidR="00F85B03" w:rsidRPr="00E332E7" w:rsidRDefault="00F85B03" w:rsidP="0012096C">
            <w:pPr>
              <w:spacing w:before="0" w:line="276" w:lineRule="auto"/>
              <w:rPr>
                <w:rFonts w:cs="Arial"/>
                <w:sz w:val="18"/>
                <w:szCs w:val="18"/>
              </w:rPr>
            </w:pPr>
            <w:r>
              <w:rPr>
                <w:rFonts w:cs="Arial"/>
                <w:sz w:val="18"/>
                <w:szCs w:val="18"/>
              </w:rPr>
              <w:t>Michael Hering</w:t>
            </w:r>
          </w:p>
        </w:tc>
        <w:tc>
          <w:tcPr>
            <w:tcW w:w="992" w:type="dxa"/>
          </w:tcPr>
          <w:p w14:paraId="20704242" w14:textId="6BA5EF6D" w:rsidR="00F85B03" w:rsidRPr="00E332E7" w:rsidRDefault="00F85B03" w:rsidP="0012096C">
            <w:pPr>
              <w:spacing w:before="0" w:line="276" w:lineRule="auto"/>
              <w:rPr>
                <w:rFonts w:cs="Arial"/>
                <w:sz w:val="18"/>
                <w:szCs w:val="18"/>
              </w:rPr>
            </w:pPr>
            <w:proofErr w:type="spellStart"/>
            <w:r>
              <w:rPr>
                <w:rFonts w:cs="Arial"/>
                <w:sz w:val="18"/>
                <w:szCs w:val="18"/>
              </w:rPr>
              <w:t>HoanNK</w:t>
            </w:r>
            <w:proofErr w:type="spellEnd"/>
          </w:p>
        </w:tc>
      </w:tr>
      <w:tr w:rsidR="00E52F3D" w:rsidRPr="00E332E7" w14:paraId="21F7194B" w14:textId="77777777" w:rsidTr="0012096C">
        <w:trPr>
          <w:trHeight w:val="471"/>
        </w:trPr>
        <w:tc>
          <w:tcPr>
            <w:tcW w:w="474" w:type="dxa"/>
          </w:tcPr>
          <w:p w14:paraId="3CA17137" w14:textId="1F921BFA" w:rsidR="00E52F3D" w:rsidRDefault="00E52F3D" w:rsidP="0012096C">
            <w:pPr>
              <w:spacing w:before="0" w:line="276" w:lineRule="auto"/>
              <w:rPr>
                <w:rFonts w:cs="Arial"/>
                <w:sz w:val="18"/>
                <w:szCs w:val="18"/>
              </w:rPr>
            </w:pPr>
            <w:r>
              <w:rPr>
                <w:rFonts w:cs="Arial"/>
                <w:sz w:val="18"/>
                <w:szCs w:val="18"/>
              </w:rPr>
              <w:lastRenderedPageBreak/>
              <w:t>8</w:t>
            </w:r>
          </w:p>
        </w:tc>
        <w:tc>
          <w:tcPr>
            <w:tcW w:w="1517" w:type="dxa"/>
          </w:tcPr>
          <w:p w14:paraId="18812220" w14:textId="1DD2181E" w:rsidR="00E52F3D" w:rsidRDefault="00C03907" w:rsidP="0012096C">
            <w:pPr>
              <w:spacing w:before="0" w:line="276" w:lineRule="auto"/>
              <w:rPr>
                <w:rFonts w:cs="Arial"/>
                <w:sz w:val="18"/>
                <w:szCs w:val="18"/>
              </w:rPr>
            </w:pPr>
            <w:r>
              <w:rPr>
                <w:rFonts w:cs="Arial"/>
                <w:sz w:val="18"/>
                <w:szCs w:val="18"/>
              </w:rPr>
              <w:t>01-Nov-</w:t>
            </w:r>
            <w:r w:rsidR="00E52F3D">
              <w:rPr>
                <w:rFonts w:cs="Arial"/>
                <w:sz w:val="18"/>
                <w:szCs w:val="18"/>
              </w:rPr>
              <w:t>2022</w:t>
            </w:r>
          </w:p>
        </w:tc>
        <w:tc>
          <w:tcPr>
            <w:tcW w:w="1043" w:type="dxa"/>
          </w:tcPr>
          <w:p w14:paraId="2D06E29E" w14:textId="1BF0A70A" w:rsidR="00E52F3D" w:rsidRDefault="00E52F3D" w:rsidP="0012096C">
            <w:pPr>
              <w:spacing w:before="0" w:line="276" w:lineRule="auto"/>
              <w:rPr>
                <w:rFonts w:cs="Arial"/>
                <w:sz w:val="18"/>
                <w:szCs w:val="18"/>
              </w:rPr>
            </w:pPr>
            <w:r>
              <w:rPr>
                <w:rFonts w:cs="Arial"/>
                <w:sz w:val="18"/>
                <w:szCs w:val="18"/>
              </w:rPr>
              <w:t>3.3</w:t>
            </w:r>
          </w:p>
        </w:tc>
        <w:tc>
          <w:tcPr>
            <w:tcW w:w="2104" w:type="dxa"/>
          </w:tcPr>
          <w:p w14:paraId="3EDA8C59" w14:textId="140A46FC" w:rsidR="00E52F3D" w:rsidRDefault="00E52F3D" w:rsidP="00E52F3D">
            <w:pPr>
              <w:keepNext/>
              <w:spacing w:before="0" w:line="276" w:lineRule="auto"/>
              <w:rPr>
                <w:rFonts w:cs="Arial"/>
                <w:iCs/>
                <w:color w:val="000000"/>
                <w:sz w:val="18"/>
                <w:szCs w:val="18"/>
              </w:rPr>
            </w:pPr>
            <w:r>
              <w:rPr>
                <w:rFonts w:cs="Arial"/>
                <w:iCs/>
                <w:color w:val="000000"/>
                <w:sz w:val="18"/>
                <w:szCs w:val="18"/>
              </w:rPr>
              <w:t xml:space="preserve">Added 3.3. </w:t>
            </w:r>
            <w:r w:rsidRPr="00167C48">
              <w:rPr>
                <w:rFonts w:cs="Arial"/>
                <w:iCs/>
                <w:color w:val="000000"/>
                <w:sz w:val="18"/>
                <w:szCs w:val="18"/>
              </w:rPr>
              <w:t>Data Protection Law, Vietnam, Overview</w:t>
            </w:r>
            <w:r>
              <w:rPr>
                <w:rFonts w:cs="Arial"/>
                <w:iCs/>
                <w:color w:val="000000"/>
                <w:sz w:val="18"/>
                <w:szCs w:val="18"/>
              </w:rPr>
              <w:t>.</w:t>
            </w:r>
          </w:p>
          <w:p w14:paraId="61470C05" w14:textId="071D1D7F" w:rsidR="00E52F3D" w:rsidRPr="00167C48" w:rsidRDefault="00E52F3D" w:rsidP="00E52F3D">
            <w:pPr>
              <w:keepNext/>
              <w:spacing w:before="0" w:line="276" w:lineRule="auto"/>
              <w:rPr>
                <w:rFonts w:cs="Arial"/>
                <w:iCs/>
                <w:color w:val="000000"/>
                <w:sz w:val="18"/>
                <w:szCs w:val="18"/>
              </w:rPr>
            </w:pPr>
            <w:r>
              <w:rPr>
                <w:rFonts w:cs="Arial"/>
                <w:iCs/>
                <w:color w:val="000000"/>
                <w:sz w:val="18"/>
                <w:szCs w:val="18"/>
              </w:rPr>
              <w:t xml:space="preserve">Added 3.2 15 </w:t>
            </w:r>
            <w:r w:rsidRPr="00167C48">
              <w:rPr>
                <w:rFonts w:cs="Arial"/>
                <w:iCs/>
                <w:color w:val="000000"/>
                <w:sz w:val="18"/>
                <w:szCs w:val="18"/>
              </w:rPr>
              <w:t xml:space="preserve">Republic Act 10173 </w:t>
            </w:r>
          </w:p>
          <w:p w14:paraId="7DA505E9" w14:textId="4A3C1986" w:rsidR="00E52F3D" w:rsidRDefault="00E52F3D" w:rsidP="00E52F3D">
            <w:pPr>
              <w:spacing w:before="0" w:line="240" w:lineRule="auto"/>
              <w:rPr>
                <w:rFonts w:cs="Arial"/>
                <w:iCs/>
                <w:color w:val="000000"/>
                <w:sz w:val="18"/>
                <w:szCs w:val="18"/>
              </w:rPr>
            </w:pPr>
            <w:r w:rsidRPr="00167C48">
              <w:rPr>
                <w:rFonts w:cs="Arial"/>
                <w:iCs/>
                <w:color w:val="000000"/>
                <w:sz w:val="18"/>
                <w:szCs w:val="18"/>
              </w:rPr>
              <w:t>Data privacy Act 2012</w:t>
            </w:r>
            <w:r>
              <w:rPr>
                <w:rFonts w:cs="Arial"/>
                <w:iCs/>
                <w:color w:val="000000"/>
                <w:sz w:val="18"/>
                <w:szCs w:val="18"/>
              </w:rPr>
              <w:t xml:space="preserve"> Added 3.2 17 </w:t>
            </w:r>
            <w:proofErr w:type="spellStart"/>
            <w:r>
              <w:rPr>
                <w:rFonts w:cs="Arial"/>
                <w:iCs/>
                <w:color w:val="000000"/>
                <w:sz w:val="18"/>
                <w:szCs w:val="18"/>
              </w:rPr>
              <w:t>PDPA</w:t>
            </w:r>
            <w:proofErr w:type="spellEnd"/>
          </w:p>
          <w:p w14:paraId="7C309BB0" w14:textId="5DE0B98D" w:rsidR="00E52F3D" w:rsidRPr="007516CD" w:rsidRDefault="00E52F3D" w:rsidP="00E52F3D">
            <w:pPr>
              <w:spacing w:before="0" w:line="276" w:lineRule="auto"/>
              <w:rPr>
                <w:rFonts w:cs="Arial"/>
                <w:iCs/>
                <w:sz w:val="18"/>
                <w:szCs w:val="18"/>
              </w:rPr>
            </w:pPr>
            <w:r>
              <w:rPr>
                <w:rFonts w:cs="Arial"/>
                <w:iCs/>
                <w:color w:val="000000"/>
                <w:sz w:val="18"/>
                <w:szCs w:val="18"/>
              </w:rPr>
              <w:t>Added 3.2 18 TISAX</w:t>
            </w:r>
          </w:p>
        </w:tc>
        <w:tc>
          <w:tcPr>
            <w:tcW w:w="1493" w:type="dxa"/>
          </w:tcPr>
          <w:p w14:paraId="6FD1BC66" w14:textId="4BACE980" w:rsidR="00E52F3D" w:rsidRDefault="00E52F3D" w:rsidP="0012096C">
            <w:pPr>
              <w:spacing w:before="0" w:line="276" w:lineRule="auto"/>
              <w:rPr>
                <w:rFonts w:cs="Arial"/>
                <w:sz w:val="18"/>
                <w:szCs w:val="18"/>
              </w:rPr>
            </w:pPr>
            <w:r>
              <w:rPr>
                <w:rFonts w:cs="Arial"/>
                <w:sz w:val="18"/>
                <w:szCs w:val="18"/>
              </w:rPr>
              <w:t>Biannually revision</w:t>
            </w:r>
          </w:p>
        </w:tc>
        <w:tc>
          <w:tcPr>
            <w:tcW w:w="1195" w:type="dxa"/>
          </w:tcPr>
          <w:p w14:paraId="5C3592DC" w14:textId="0787E802" w:rsidR="00E52F3D" w:rsidRDefault="00E52F3D" w:rsidP="0012096C">
            <w:pPr>
              <w:spacing w:before="0" w:line="276" w:lineRule="auto"/>
              <w:rPr>
                <w:rFonts w:cs="Arial"/>
                <w:sz w:val="18"/>
                <w:szCs w:val="18"/>
              </w:rPr>
            </w:pPr>
            <w:r>
              <w:rPr>
                <w:rFonts w:cs="Arial"/>
                <w:sz w:val="18"/>
                <w:szCs w:val="18"/>
              </w:rPr>
              <w:t>LinhDTD1</w:t>
            </w:r>
          </w:p>
        </w:tc>
        <w:tc>
          <w:tcPr>
            <w:tcW w:w="1531" w:type="dxa"/>
          </w:tcPr>
          <w:p w14:paraId="0E4FDADD" w14:textId="03420571" w:rsidR="00E52F3D" w:rsidRDefault="00E52F3D" w:rsidP="0012096C">
            <w:pPr>
              <w:spacing w:before="0" w:line="276" w:lineRule="auto"/>
              <w:rPr>
                <w:rFonts w:cs="Arial"/>
                <w:sz w:val="18"/>
                <w:szCs w:val="18"/>
              </w:rPr>
            </w:pPr>
            <w:r>
              <w:rPr>
                <w:rFonts w:cs="Arial"/>
                <w:sz w:val="18"/>
                <w:szCs w:val="18"/>
              </w:rPr>
              <w:t>Michael Hering</w:t>
            </w:r>
          </w:p>
        </w:tc>
        <w:tc>
          <w:tcPr>
            <w:tcW w:w="992" w:type="dxa"/>
          </w:tcPr>
          <w:p w14:paraId="288C1B11" w14:textId="3E356D0D" w:rsidR="00E52F3D" w:rsidRDefault="00E52F3D" w:rsidP="0012096C">
            <w:pPr>
              <w:spacing w:before="0" w:line="276" w:lineRule="auto"/>
              <w:rPr>
                <w:rFonts w:cs="Arial"/>
                <w:sz w:val="18"/>
                <w:szCs w:val="18"/>
              </w:rPr>
            </w:pPr>
            <w:proofErr w:type="spellStart"/>
            <w:r>
              <w:rPr>
                <w:rFonts w:cs="Arial"/>
                <w:sz w:val="18"/>
                <w:szCs w:val="18"/>
              </w:rPr>
              <w:t>HoanNK</w:t>
            </w:r>
            <w:bookmarkStart w:id="0" w:name="_GoBack"/>
            <w:bookmarkEnd w:id="0"/>
            <w:proofErr w:type="spellEnd"/>
          </w:p>
        </w:tc>
      </w:tr>
    </w:tbl>
    <w:p w14:paraId="37FB0A6B" w14:textId="77777777" w:rsidR="00CD79A8" w:rsidRPr="00612FEB" w:rsidRDefault="00CD79A8" w:rsidP="00CD79A8">
      <w:pPr>
        <w:pStyle w:val="Heading1"/>
        <w:numPr>
          <w:ilvl w:val="0"/>
          <w:numId w:val="24"/>
        </w:numPr>
        <w:rPr>
          <w:rFonts w:cs="Arial"/>
          <w:szCs w:val="24"/>
        </w:rPr>
      </w:pPr>
      <w:bookmarkStart w:id="1" w:name="_Toc72762017"/>
      <w:bookmarkStart w:id="2" w:name="_Toc117593892"/>
      <w:r w:rsidRPr="00612FEB">
        <w:rPr>
          <w:rFonts w:cs="Arial"/>
          <w:szCs w:val="24"/>
        </w:rPr>
        <w:lastRenderedPageBreak/>
        <w:t>INTRODUCTION</w:t>
      </w:r>
      <w:bookmarkEnd w:id="1"/>
      <w:bookmarkEnd w:id="2"/>
    </w:p>
    <w:p w14:paraId="34CB7666" w14:textId="46E964A6" w:rsidR="00CD79A8" w:rsidRDefault="00CD79A8" w:rsidP="00612FEB">
      <w:pPr>
        <w:pStyle w:val="BodyText"/>
        <w:jc w:val="both"/>
      </w:pPr>
      <w:r>
        <w:t>FPT Software</w:t>
      </w:r>
      <w:r>
        <w:rPr>
          <w:lang w:val="en"/>
        </w:rPr>
        <w:t xml:space="preserve"> Company, Ltd. ("FPT Software" hereinafter)</w:t>
      </w:r>
      <w:r>
        <w:t xml:space="preserve"> Corporate Data Protection Policy, guidelines</w:t>
      </w:r>
      <w:r w:rsidR="00F85B03">
        <w:t>, procedures</w:t>
      </w:r>
      <w:r>
        <w:t xml:space="preserve"> and templates lay out strict requirements for processing personal data pertaining to customers, business partners, employees or any other individual. It meets the requirements of the European Data Protection Regulation/Directive as well as other national Data Protection Regulations and ensures compliance with the principles of national and international data protection laws in force all over the world. The policy, guidelines and templates set a globally applicable data protection and security standard for FPT Software and regulates the sharing of information between FPT Software, </w:t>
      </w:r>
      <w:r w:rsidR="00F72A4D">
        <w:t>subsidiaries,</w:t>
      </w:r>
      <w:r>
        <w:t xml:space="preserve"> and legal entities. FPT Software have established guiding data protection principles – among them transparency, data economy and data security – as FPT Software </w:t>
      </w:r>
      <w:r w:rsidR="00F72A4D">
        <w:t xml:space="preserve">Personal Data Protection Handbook and IMS </w:t>
      </w:r>
      <w:r>
        <w:t xml:space="preserve">guidelines. </w:t>
      </w:r>
    </w:p>
    <w:p w14:paraId="7C8A047D" w14:textId="77777777" w:rsidR="00CD79A8" w:rsidRPr="00612FEB" w:rsidRDefault="00CD79A8" w:rsidP="00CD79A8">
      <w:pPr>
        <w:pStyle w:val="Heading2"/>
        <w:numPr>
          <w:ilvl w:val="1"/>
          <w:numId w:val="24"/>
        </w:numPr>
        <w:rPr>
          <w:rFonts w:cs="Arial"/>
          <w:szCs w:val="22"/>
        </w:rPr>
      </w:pPr>
      <w:bookmarkStart w:id="3" w:name="_Toc72762018"/>
      <w:bookmarkStart w:id="4" w:name="_Toc117593893"/>
      <w:r w:rsidRPr="00612FEB">
        <w:rPr>
          <w:rFonts w:cs="Arial"/>
          <w:szCs w:val="22"/>
        </w:rPr>
        <w:t>Purpose</w:t>
      </w:r>
      <w:bookmarkEnd w:id="3"/>
      <w:bookmarkEnd w:id="4"/>
    </w:p>
    <w:p w14:paraId="55DB1CA8" w14:textId="29D99C47" w:rsidR="00CD79A8" w:rsidRDefault="00CD79A8" w:rsidP="00612FEB">
      <w:pPr>
        <w:jc w:val="both"/>
        <w:rPr>
          <w:rFonts w:cs="Arial"/>
          <w:lang w:eastAsia="zh-TW"/>
        </w:rPr>
      </w:pPr>
      <w:r>
        <w:rPr>
          <w:rFonts w:cs="Arial"/>
          <w:lang w:eastAsia="zh-TW"/>
        </w:rPr>
        <w:t xml:space="preserve">FPT Software has globally a wide range of personal data collected, used and proceed for FPT Software business process and as well </w:t>
      </w:r>
      <w:r w:rsidR="00F72A4D">
        <w:rPr>
          <w:rFonts w:cs="Arial"/>
          <w:lang w:eastAsia="zh-TW"/>
        </w:rPr>
        <w:t>on</w:t>
      </w:r>
      <w:r>
        <w:rPr>
          <w:rFonts w:cs="Arial"/>
          <w:lang w:eastAsia="zh-TW"/>
        </w:rPr>
        <w:t xml:space="preserve"> behalf of our customer as their service. This guideline is a unified version of business conduct involving personal information, collected personal data processing and use of that category and confidentiality level for the benefit of each business unit to take appropriate protective measures to protect personal information. </w:t>
      </w:r>
    </w:p>
    <w:p w14:paraId="51E72C93" w14:textId="77777777" w:rsidR="00CD79A8" w:rsidRDefault="00CD79A8" w:rsidP="00612FEB">
      <w:pPr>
        <w:jc w:val="both"/>
        <w:rPr>
          <w:rFonts w:cs="Arial"/>
          <w:lang w:eastAsia="zh-TW"/>
        </w:rPr>
      </w:pPr>
      <w:r>
        <w:rPr>
          <w:rFonts w:cs="Arial"/>
          <w:lang w:eastAsia="zh-TW"/>
        </w:rPr>
        <w:t>Personally Identifiable Information (PII) is a legal term pertaining to personal data protection environments. While PII has several formal definitions, generally speaking, it is information that can be used by organizations on its own or with other information to identify, contact, or locate a single person, or to identify an individual in context.</w:t>
      </w:r>
    </w:p>
    <w:p w14:paraId="2CA5F18C" w14:textId="06FAA5D4" w:rsidR="00CD79A8" w:rsidRDefault="00CD79A8" w:rsidP="00612FEB">
      <w:pPr>
        <w:jc w:val="both"/>
        <w:rPr>
          <w:rFonts w:cs="Arial"/>
          <w:lang w:eastAsia="zh-TW"/>
        </w:rPr>
      </w:pPr>
      <w:r>
        <w:rPr>
          <w:rFonts w:cs="Arial"/>
          <w:lang w:eastAsia="zh-TW"/>
        </w:rPr>
        <w:t xml:space="preserve">FPT Software uses the concept of PII to understand which data we store, </w:t>
      </w:r>
      <w:r w:rsidR="00F72A4D">
        <w:rPr>
          <w:rFonts w:cs="Arial"/>
          <w:lang w:eastAsia="zh-TW"/>
        </w:rPr>
        <w:t>process,</w:t>
      </w:r>
      <w:r>
        <w:rPr>
          <w:rFonts w:cs="Arial"/>
          <w:lang w:eastAsia="zh-TW"/>
        </w:rPr>
        <w:t xml:space="preserve"> and manage that identifies people and may carry additional responsibility, data protection requirements, and in some cases legal or compliance requirements.</w:t>
      </w:r>
    </w:p>
    <w:p w14:paraId="75306225" w14:textId="77777777" w:rsidR="00CD79A8" w:rsidRDefault="00CD79A8" w:rsidP="00612FEB">
      <w:pPr>
        <w:pStyle w:val="BodyText"/>
        <w:jc w:val="both"/>
      </w:pPr>
      <w:r>
        <w:t>In order to standardize the collection, processing, transfer, and use of personal data, and promote the reasonable, lawfully, fairly and transparent use of personal data to prevent personal data from being stolen, altered, damaged, lost or leaked, FPT Software</w:t>
      </w:r>
      <w:r>
        <w:rPr>
          <w:lang w:val="en"/>
        </w:rPr>
        <w:t xml:space="preserve"> </w:t>
      </w:r>
      <w:r>
        <w:t>establishes personal data protection management policy, guidelines and templates.</w:t>
      </w:r>
    </w:p>
    <w:p w14:paraId="5C3220EC" w14:textId="77777777" w:rsidR="00CD79A8" w:rsidRDefault="00CD79A8" w:rsidP="00612FEB">
      <w:pPr>
        <w:pStyle w:val="BodyText"/>
        <w:jc w:val="both"/>
      </w:pPr>
      <w:r>
        <w:t>Data classification tags data according to its type, sensitivity, and value to FPT Software if altered, stolen, or destroyed. It helps to understand the value of data, determine whether the data is at risk, and implement controls to mitigate risks.  Data classification also helps to be complied with relevant industry-specific regulatory mandates and data protection laws such as SOX, HIPAA, PCI DSS, ISO 27701, BS 10012:2017, GDPR and other national Personal Data Protection Regulations.</w:t>
      </w:r>
    </w:p>
    <w:p w14:paraId="0A25E4C4" w14:textId="77777777" w:rsidR="00CD79A8" w:rsidRDefault="00CD79A8" w:rsidP="00CD79A8">
      <w:pPr>
        <w:spacing w:before="0" w:line="240" w:lineRule="auto"/>
      </w:pPr>
      <w:r>
        <w:br w:type="page"/>
      </w:r>
    </w:p>
    <w:p w14:paraId="6AC5DD4F" w14:textId="77777777" w:rsidR="00CD79A8" w:rsidRPr="00612FEB" w:rsidRDefault="00CD79A8" w:rsidP="00CD79A8">
      <w:pPr>
        <w:pStyle w:val="Heading2"/>
        <w:numPr>
          <w:ilvl w:val="1"/>
          <w:numId w:val="24"/>
        </w:numPr>
        <w:rPr>
          <w:rFonts w:cs="Arial"/>
          <w:szCs w:val="22"/>
        </w:rPr>
      </w:pPr>
      <w:bookmarkStart w:id="5" w:name="_Toc72762019"/>
      <w:bookmarkStart w:id="6" w:name="_Toc138667729"/>
      <w:bookmarkStart w:id="7" w:name="_Toc117593894"/>
      <w:r w:rsidRPr="00612FEB">
        <w:rPr>
          <w:rFonts w:cs="Arial"/>
          <w:szCs w:val="22"/>
        </w:rPr>
        <w:lastRenderedPageBreak/>
        <w:t>Application Scope</w:t>
      </w:r>
      <w:bookmarkEnd w:id="5"/>
      <w:bookmarkEnd w:id="6"/>
      <w:bookmarkEnd w:id="7"/>
    </w:p>
    <w:p w14:paraId="031D6762" w14:textId="0F525582" w:rsidR="00F72A4D" w:rsidRDefault="00F72A4D" w:rsidP="00612FEB">
      <w:pPr>
        <w:jc w:val="both"/>
        <w:rPr>
          <w:rFonts w:cs="Arial"/>
        </w:rPr>
      </w:pPr>
      <w:r>
        <w:rPr>
          <w:rFonts w:cs="Arial"/>
        </w:rPr>
        <w:t xml:space="preserve">See </w:t>
      </w:r>
      <w:proofErr w:type="spellStart"/>
      <w:r w:rsidR="00F85B03">
        <w:rPr>
          <w:rFonts w:cs="Arial"/>
        </w:rPr>
        <w:t>Policy</w:t>
      </w:r>
      <w:r w:rsidRPr="00F72A4D">
        <w:rPr>
          <w:rFonts w:cs="Arial"/>
        </w:rPr>
        <w:t>_PIMS</w:t>
      </w:r>
      <w:proofErr w:type="spellEnd"/>
      <w:r w:rsidRPr="00F72A4D">
        <w:rPr>
          <w:rFonts w:cs="Arial"/>
        </w:rPr>
        <w:t xml:space="preserve"> scope_V1.</w:t>
      </w:r>
      <w:r w:rsidR="00760AB0">
        <w:rPr>
          <w:rFonts w:cs="Arial"/>
        </w:rPr>
        <w:t>2</w:t>
      </w:r>
      <w:r>
        <w:rPr>
          <w:rFonts w:cs="Arial"/>
        </w:rPr>
        <w:t>.</w:t>
      </w:r>
    </w:p>
    <w:p w14:paraId="43C8230C" w14:textId="5668875A" w:rsidR="00CD79A8" w:rsidRDefault="00CD79A8" w:rsidP="00612FEB">
      <w:pPr>
        <w:jc w:val="both"/>
        <w:rPr>
          <w:rFonts w:cs="Arial"/>
        </w:rPr>
      </w:pPr>
      <w:r>
        <w:rPr>
          <w:rFonts w:cs="Arial"/>
        </w:rPr>
        <w:t>Also, in scope processes and information systems FPT Software is using on behalf of a customer for the processing and/or transfer of personal data.</w:t>
      </w:r>
    </w:p>
    <w:p w14:paraId="6FF56D3B" w14:textId="77777777" w:rsidR="00CD79A8" w:rsidRDefault="00CD79A8" w:rsidP="00CD79A8">
      <w:pPr>
        <w:spacing w:before="0" w:line="240" w:lineRule="auto"/>
        <w:rPr>
          <w:rFonts w:cs="Arial"/>
        </w:rPr>
      </w:pPr>
    </w:p>
    <w:p w14:paraId="356C6386" w14:textId="77777777" w:rsidR="00CD79A8" w:rsidRPr="00612FEB" w:rsidRDefault="00CD79A8" w:rsidP="00CD79A8">
      <w:pPr>
        <w:pStyle w:val="Heading2"/>
        <w:numPr>
          <w:ilvl w:val="1"/>
          <w:numId w:val="24"/>
        </w:numPr>
      </w:pPr>
      <w:bookmarkStart w:id="8" w:name="_Toc72762020"/>
      <w:bookmarkStart w:id="9" w:name="_Toc37333791"/>
      <w:bookmarkStart w:id="10" w:name="_Toc15371751"/>
      <w:bookmarkStart w:id="11" w:name="_Toc117593895"/>
      <w:r w:rsidRPr="00612FEB">
        <w:t>Application of national Laws</w:t>
      </w:r>
      <w:bookmarkEnd w:id="8"/>
      <w:bookmarkEnd w:id="9"/>
      <w:bookmarkEnd w:id="10"/>
      <w:bookmarkEnd w:id="11"/>
    </w:p>
    <w:p w14:paraId="1A32E585" w14:textId="77777777" w:rsidR="00CD79A8" w:rsidRDefault="00CD79A8" w:rsidP="00612FEB">
      <w:pPr>
        <w:pStyle w:val="BodyText"/>
        <w:jc w:val="both"/>
      </w:pPr>
      <w:r>
        <w:t xml:space="preserve">This Data Protection Policy, guidelines and templates comprises the internationally accepted data privacy principles without replacing the existing national laws. It supplements the national data privacy laws. The relevant national law will take precedence in the event that it conflicts with the Data Protection Policy and guidelines, or it has stricter requirements than this Policy and guidelines. The content of the Data Protection Policy and guidelines must also be observed in the absence of corresponding national legislation. The reporting requirements for data processing under national laws must be observed. </w:t>
      </w:r>
    </w:p>
    <w:p w14:paraId="2D9BF0FD" w14:textId="4B968192" w:rsidR="00CD79A8" w:rsidRDefault="00CD79A8" w:rsidP="00612FEB">
      <w:pPr>
        <w:pStyle w:val="BodyText"/>
        <w:jc w:val="both"/>
        <w:rPr>
          <w:lang w:val="en-GB"/>
        </w:rPr>
      </w:pPr>
      <w:r>
        <w:t xml:space="preserve">Each subsidiary or legal entity of FPT Software is responsible for compliance with the Data Protection Policy, this </w:t>
      </w:r>
      <w:r w:rsidR="00F72A4D">
        <w:t>guideline,</w:t>
      </w:r>
      <w:r>
        <w:t xml:space="preserve"> and the legal obligations. If there is reason to believe that legal obligations contradict the duties under the Data Protection Policy or the guidelines, the relevant subsidiary or legal entity must inform the Global Data Protection Officer. In the event of conflicts between national legislation, the Data Protection Policy and this guideline, FPT Software Global Data Protection Officer will work with the relevant subsidiary or legal entity of FPT Software </w:t>
      </w:r>
      <w:r>
        <w:rPr>
          <w:lang w:val="en-GB"/>
        </w:rPr>
        <w:t xml:space="preserve">to find a practical solution that meets the purpose of the Data Protection Policy and this guideline. </w:t>
      </w:r>
    </w:p>
    <w:p w14:paraId="5278F34C" w14:textId="77777777" w:rsidR="00CD79A8" w:rsidRDefault="00CD79A8" w:rsidP="00CD79A8">
      <w:pPr>
        <w:spacing w:before="0" w:line="240" w:lineRule="auto"/>
        <w:rPr>
          <w:lang w:val="en-GB"/>
        </w:rPr>
      </w:pPr>
      <w:r>
        <w:rPr>
          <w:lang w:val="en-GB"/>
        </w:rPr>
        <w:br w:type="page"/>
      </w:r>
    </w:p>
    <w:p w14:paraId="051A9F34" w14:textId="77777777" w:rsidR="00CD79A8" w:rsidRPr="00202FC5" w:rsidRDefault="00CD79A8" w:rsidP="00CD79A8">
      <w:pPr>
        <w:pStyle w:val="Heading2"/>
        <w:numPr>
          <w:ilvl w:val="1"/>
          <w:numId w:val="24"/>
        </w:numPr>
        <w:rPr>
          <w:rFonts w:cs="Arial"/>
          <w:szCs w:val="22"/>
        </w:rPr>
      </w:pPr>
      <w:bookmarkStart w:id="12" w:name="_Toc72762021"/>
      <w:bookmarkStart w:id="13" w:name="_Toc117593896"/>
      <w:r w:rsidRPr="00202FC5">
        <w:rPr>
          <w:rFonts w:cs="Arial"/>
          <w:szCs w:val="22"/>
        </w:rPr>
        <w:lastRenderedPageBreak/>
        <w:t>Responsibility</w:t>
      </w:r>
      <w:bookmarkEnd w:id="12"/>
      <w:bookmarkEnd w:id="13"/>
    </w:p>
    <w:p w14:paraId="695A3347" w14:textId="77777777" w:rsidR="00CD79A8" w:rsidRDefault="00CD79A8" w:rsidP="00612FEB">
      <w:pPr>
        <w:jc w:val="both"/>
        <w:rPr>
          <w:rFonts w:cs="Arial"/>
        </w:rPr>
      </w:pPr>
      <w:r>
        <w:rPr>
          <w:rFonts w:cs="Arial"/>
        </w:rPr>
        <w:t xml:space="preserve">The Global Data Protection Officer, appointed by the FPT Software Board Member responsible for Data Protection on behalf of the CEO of FPT Software is fully responsible. </w:t>
      </w:r>
    </w:p>
    <w:p w14:paraId="446E1D22" w14:textId="77777777" w:rsidR="00CD79A8" w:rsidRDefault="00CD79A8" w:rsidP="00612FEB">
      <w:pPr>
        <w:jc w:val="both"/>
        <w:rPr>
          <w:rFonts w:eastAsia="Times New Roman" w:cs="Arial"/>
          <w:color w:val="000000" w:themeColor="text1"/>
          <w:shd w:val="clear" w:color="auto" w:fill="FFFFFF"/>
        </w:rPr>
      </w:pPr>
      <w:r>
        <w:rPr>
          <w:rFonts w:eastAsia="Times New Roman" w:cs="Arial"/>
          <w:color w:val="000000" w:themeColor="text1"/>
          <w:shd w:val="clear" w:color="auto" w:fill="FFFFFF"/>
        </w:rPr>
        <w:t xml:space="preserve">The Global </w:t>
      </w:r>
      <w:r>
        <w:rPr>
          <w:rFonts w:eastAsia="Times New Roman" w:cs="Arial"/>
          <w:bCs/>
          <w:color w:val="000000" w:themeColor="text1"/>
          <w:shd w:val="clear" w:color="auto" w:fill="FFFFFF"/>
        </w:rPr>
        <w:t>Data Protection Officer</w:t>
      </w:r>
      <w:r>
        <w:rPr>
          <w:rFonts w:eastAsia="Times New Roman" w:cs="Arial"/>
          <w:color w:val="000000" w:themeColor="text1"/>
          <w:shd w:val="clear" w:color="auto" w:fill="FFFFFF"/>
        </w:rPr>
        <w:t> (GDPO) is an enterprise security leadership role required by the General </w:t>
      </w:r>
      <w:r>
        <w:rPr>
          <w:rFonts w:eastAsia="Times New Roman" w:cs="Arial"/>
          <w:bCs/>
          <w:color w:val="000000" w:themeColor="text1"/>
          <w:shd w:val="clear" w:color="auto" w:fill="FFFFFF"/>
        </w:rPr>
        <w:t>Data Protection</w:t>
      </w:r>
      <w:r>
        <w:rPr>
          <w:rFonts w:eastAsia="Times New Roman" w:cs="Arial"/>
          <w:color w:val="000000" w:themeColor="text1"/>
          <w:shd w:val="clear" w:color="auto" w:fill="FFFFFF"/>
        </w:rPr>
        <w:t xml:space="preserve"> Regulation (GDPR) and </w:t>
      </w:r>
      <w:r>
        <w:t>other national/international laws/regulation</w:t>
      </w:r>
      <w:r>
        <w:rPr>
          <w:rFonts w:eastAsia="Times New Roman" w:cs="Arial"/>
          <w:color w:val="000000" w:themeColor="text1"/>
          <w:shd w:val="clear" w:color="auto" w:fill="FFFFFF"/>
        </w:rPr>
        <w:t>.</w:t>
      </w:r>
    </w:p>
    <w:p w14:paraId="4F60823C" w14:textId="77777777" w:rsidR="00CD79A8" w:rsidRDefault="00CD79A8" w:rsidP="00612FEB">
      <w:pPr>
        <w:jc w:val="both"/>
        <w:rPr>
          <w:rFonts w:eastAsia="Times New Roman" w:cs="Arial"/>
          <w:color w:val="000000" w:themeColor="text1"/>
          <w:shd w:val="clear" w:color="auto" w:fill="FFFFFF"/>
        </w:rPr>
      </w:pPr>
      <w:r>
        <w:rPr>
          <w:rFonts w:eastAsia="Times New Roman" w:cs="Arial"/>
          <w:bCs/>
          <w:color w:val="000000" w:themeColor="text1"/>
          <w:shd w:val="clear" w:color="auto" w:fill="FFFFFF"/>
        </w:rPr>
        <w:t>The GDPO</w:t>
      </w:r>
      <w:r>
        <w:rPr>
          <w:rFonts w:eastAsia="Times New Roman" w:cs="Arial"/>
          <w:color w:val="000000" w:themeColor="text1"/>
          <w:shd w:val="clear" w:color="auto" w:fill="FFFFFF"/>
        </w:rPr>
        <w:t> is responsible for overseeing </w:t>
      </w:r>
      <w:r>
        <w:rPr>
          <w:rFonts w:eastAsia="Times New Roman" w:cs="Arial"/>
          <w:bCs/>
          <w:color w:val="000000" w:themeColor="text1"/>
          <w:shd w:val="clear" w:color="auto" w:fill="FFFFFF"/>
        </w:rPr>
        <w:t>data protection</w:t>
      </w:r>
      <w:r>
        <w:rPr>
          <w:rFonts w:eastAsia="Times New Roman" w:cs="Arial"/>
          <w:color w:val="000000" w:themeColor="text1"/>
          <w:shd w:val="clear" w:color="auto" w:fill="FFFFFF"/>
        </w:rPr>
        <w:t xml:space="preserve"> strategy and implementation to ensure compliance with GDPR requirements and other Personal Data Protection Acts. </w:t>
      </w:r>
    </w:p>
    <w:p w14:paraId="44710C51" w14:textId="2466524F" w:rsidR="00CD79A8" w:rsidRDefault="00CD79A8" w:rsidP="00612FEB">
      <w:pPr>
        <w:jc w:val="both"/>
        <w:rPr>
          <w:rFonts w:cs="Arial"/>
          <w:color w:val="000000" w:themeColor="text1"/>
        </w:rPr>
      </w:pPr>
      <w:r>
        <w:rPr>
          <w:rFonts w:cs="Arial"/>
          <w:color w:val="000000" w:themeColor="text1"/>
          <w:shd w:val="clear" w:color="auto" w:fill="FFFFFF"/>
        </w:rPr>
        <w:t>The primary role of the G</w:t>
      </w:r>
      <w:r>
        <w:rPr>
          <w:rFonts w:cs="Arial"/>
          <w:color w:val="000000" w:themeColor="text1"/>
        </w:rPr>
        <w:t>DPO</w:t>
      </w:r>
      <w:r>
        <w:rPr>
          <w:rFonts w:cs="Arial"/>
          <w:color w:val="000000" w:themeColor="text1"/>
          <w:shd w:val="clear" w:color="auto" w:fill="FFFFFF"/>
        </w:rPr>
        <w:t xml:space="preserve"> is to ensure that organization </w:t>
      </w:r>
      <w:r>
        <w:rPr>
          <w:rFonts w:cs="Arial"/>
          <w:color w:val="000000" w:themeColor="text1"/>
        </w:rPr>
        <w:t xml:space="preserve">processes, </w:t>
      </w:r>
      <w:r>
        <w:rPr>
          <w:rFonts w:cs="Arial"/>
          <w:color w:val="000000" w:themeColor="text1"/>
          <w:shd w:val="clear" w:color="auto" w:fill="FFFFFF"/>
        </w:rPr>
        <w:t>the </w:t>
      </w:r>
      <w:r>
        <w:rPr>
          <w:rFonts w:cs="Arial"/>
          <w:color w:val="000000" w:themeColor="text1"/>
        </w:rPr>
        <w:t>personal data</w:t>
      </w:r>
      <w:r>
        <w:rPr>
          <w:rFonts w:cs="Arial"/>
          <w:color w:val="000000" w:themeColor="text1"/>
          <w:shd w:val="clear" w:color="auto" w:fill="FFFFFF"/>
        </w:rPr>
        <w:t xml:space="preserve"> of employees, customers, </w:t>
      </w:r>
      <w:r w:rsidR="00F72A4D">
        <w:rPr>
          <w:rFonts w:cs="Arial"/>
          <w:color w:val="000000" w:themeColor="text1"/>
          <w:shd w:val="clear" w:color="auto" w:fill="FFFFFF"/>
        </w:rPr>
        <w:t>providers,</w:t>
      </w:r>
      <w:r>
        <w:rPr>
          <w:rFonts w:cs="Arial"/>
          <w:color w:val="000000" w:themeColor="text1"/>
          <w:shd w:val="clear" w:color="auto" w:fill="FFFFFF"/>
        </w:rPr>
        <w:t xml:space="preserve"> or any other individuals in compliance with the applicable data protection rules. G</w:t>
      </w:r>
      <w:r>
        <w:rPr>
          <w:rFonts w:eastAsia="Times New Roman" w:cs="Arial"/>
          <w:color w:val="000000" w:themeColor="text1"/>
          <w:shd w:val="clear" w:color="auto" w:fill="FFFFFF"/>
        </w:rPr>
        <w:t>DPO should be able to perform the duties independently.</w:t>
      </w:r>
    </w:p>
    <w:p w14:paraId="3FF25512" w14:textId="290AD95A" w:rsidR="00CD79A8" w:rsidRDefault="00CD79A8" w:rsidP="00612FEB">
      <w:pPr>
        <w:pStyle w:val="BodyText"/>
        <w:spacing w:after="0"/>
        <w:jc w:val="both"/>
        <w:rPr>
          <w:rFonts w:cs="Arial"/>
        </w:rPr>
      </w:pPr>
      <w:r>
        <w:rPr>
          <w:rFonts w:cs="Arial"/>
        </w:rPr>
        <w:t xml:space="preserve">GDPO is responsible to advice, control and execute the development and maintenance of the personal data inventory. GDPO </w:t>
      </w:r>
      <w:r w:rsidR="00F72A4D">
        <w:rPr>
          <w:rFonts w:cs="Arial"/>
        </w:rPr>
        <w:t>must</w:t>
      </w:r>
      <w:r>
        <w:rPr>
          <w:rFonts w:cs="Arial"/>
        </w:rPr>
        <w:t xml:space="preserve"> ensure </w:t>
      </w:r>
      <w:r w:rsidR="00F72A4D">
        <w:rPr>
          <w:rFonts w:cs="Arial"/>
        </w:rPr>
        <w:t>that all</w:t>
      </w:r>
      <w:r>
        <w:rPr>
          <w:rFonts w:cs="Arial"/>
        </w:rPr>
        <w:t xml:space="preserve"> departments of the company are following the company guidelines and the respective laws.</w:t>
      </w:r>
    </w:p>
    <w:p w14:paraId="4EB65E9E" w14:textId="120C46E0" w:rsidR="00CD79A8" w:rsidRDefault="00CD79A8" w:rsidP="00612FEB">
      <w:pPr>
        <w:pStyle w:val="BodyText"/>
        <w:spacing w:after="0"/>
        <w:jc w:val="both"/>
        <w:rPr>
          <w:rFonts w:cs="Arial"/>
        </w:rPr>
      </w:pPr>
      <w:r>
        <w:rPr>
          <w:rFonts w:cs="Arial"/>
        </w:rPr>
        <w:t xml:space="preserve">GDPO is responsible for data protection policies, </w:t>
      </w:r>
      <w:r w:rsidR="00F72A4D">
        <w:rPr>
          <w:rFonts w:cs="Arial"/>
        </w:rPr>
        <w:t>guidelines,</w:t>
      </w:r>
      <w:r>
        <w:rPr>
          <w:rFonts w:cs="Arial"/>
        </w:rPr>
        <w:t xml:space="preserve"> and templates.</w:t>
      </w:r>
    </w:p>
    <w:p w14:paraId="4558AD63" w14:textId="77777777" w:rsidR="00CD79A8" w:rsidRDefault="00CD79A8" w:rsidP="00612FEB">
      <w:pPr>
        <w:pStyle w:val="BodyText"/>
        <w:spacing w:after="0"/>
        <w:jc w:val="both"/>
        <w:rPr>
          <w:rFonts w:cs="Arial"/>
        </w:rPr>
      </w:pPr>
      <w:r>
        <w:rPr>
          <w:rFonts w:cs="Arial"/>
        </w:rPr>
        <w:t>GDPO is responsible to manage the annually internal audits and reports the audit results to FPT Software board.</w:t>
      </w:r>
    </w:p>
    <w:p w14:paraId="76008E92" w14:textId="77777777" w:rsidR="00CD79A8" w:rsidRDefault="00CD79A8" w:rsidP="00CD79A8">
      <w:pPr>
        <w:pStyle w:val="Heading3"/>
        <w:numPr>
          <w:ilvl w:val="0"/>
          <w:numId w:val="0"/>
        </w:numPr>
        <w:spacing w:before="120"/>
        <w:rPr>
          <w:rFonts w:cs="Arial"/>
          <w:i/>
          <w:sz w:val="20"/>
        </w:rPr>
      </w:pPr>
      <w:r>
        <w:rPr>
          <w:rFonts w:cs="Arial"/>
          <w:i/>
          <w:sz w:val="20"/>
        </w:rPr>
        <w:t xml:space="preserve">Internal Audit Group </w:t>
      </w:r>
    </w:p>
    <w:p w14:paraId="0E6A6E8E" w14:textId="77777777" w:rsidR="00CD79A8" w:rsidRDefault="00CD79A8" w:rsidP="00CD79A8">
      <w:pPr>
        <w:pStyle w:val="Heading3"/>
        <w:numPr>
          <w:ilvl w:val="0"/>
          <w:numId w:val="0"/>
        </w:numPr>
        <w:spacing w:before="120"/>
        <w:rPr>
          <w:rFonts w:cs="Arial"/>
          <w:sz w:val="20"/>
        </w:rPr>
      </w:pPr>
      <w:r>
        <w:rPr>
          <w:rFonts w:cs="Arial"/>
          <w:sz w:val="20"/>
        </w:rPr>
        <w:t>Assigned by the GDPO and approved by Board member responsible for DP.</w:t>
      </w:r>
      <w:r>
        <w:rPr>
          <w:rFonts w:cs="Arial"/>
          <w:sz w:val="20"/>
        </w:rPr>
        <w:br/>
        <w:t>Execution and management the internal audit operations based on GDPO advice.</w:t>
      </w:r>
      <w:r>
        <w:rPr>
          <w:rFonts w:cs="Arial"/>
          <w:sz w:val="20"/>
        </w:rPr>
        <w:br/>
        <w:t>Development of an internal audit plan approved by the GDPO.</w:t>
      </w:r>
      <w:r>
        <w:rPr>
          <w:rFonts w:cs="Arial"/>
          <w:sz w:val="20"/>
        </w:rPr>
        <w:br/>
        <w:t>Organize the auditors’ education and training.</w:t>
      </w:r>
      <w:r>
        <w:rPr>
          <w:rFonts w:cs="Arial"/>
          <w:sz w:val="20"/>
        </w:rPr>
        <w:br/>
        <w:t>Report internal audit results to the GDPO.</w:t>
      </w:r>
    </w:p>
    <w:p w14:paraId="241FE646" w14:textId="74D0122C" w:rsidR="00CD79A8" w:rsidRDefault="00CD79A8" w:rsidP="00CD79A8">
      <w:r>
        <w:t xml:space="preserve">More details in </w:t>
      </w:r>
      <w:proofErr w:type="spellStart"/>
      <w:r>
        <w:t>Guideline_Personal</w:t>
      </w:r>
      <w:proofErr w:type="spellEnd"/>
      <w:r>
        <w:t xml:space="preserve"> Data Protection Organization_V3.</w:t>
      </w:r>
      <w:r w:rsidR="00760AB0">
        <w:t>3</w:t>
      </w:r>
    </w:p>
    <w:p w14:paraId="76D1D71B" w14:textId="77777777" w:rsidR="00CD79A8" w:rsidRDefault="00CD79A8" w:rsidP="00CD79A8">
      <w:pPr>
        <w:pStyle w:val="BodyText"/>
        <w:rPr>
          <w:rFonts w:cs="Arial"/>
        </w:rPr>
      </w:pPr>
    </w:p>
    <w:p w14:paraId="6B36122E" w14:textId="77777777" w:rsidR="00CD79A8" w:rsidRDefault="00CD79A8" w:rsidP="00CD79A8">
      <w:pPr>
        <w:rPr>
          <w:rFonts w:cs="Arial"/>
        </w:rPr>
      </w:pPr>
    </w:p>
    <w:p w14:paraId="146453CB" w14:textId="77777777" w:rsidR="00CD79A8" w:rsidRDefault="00CD79A8" w:rsidP="00CD79A8">
      <w:pPr>
        <w:pStyle w:val="BodyText"/>
        <w:rPr>
          <w:rFonts w:cs="Arial"/>
        </w:rPr>
      </w:pPr>
    </w:p>
    <w:p w14:paraId="67EF4792" w14:textId="77777777" w:rsidR="00CD79A8" w:rsidRPr="00612FEB" w:rsidRDefault="00CD79A8" w:rsidP="00CD79A8">
      <w:pPr>
        <w:pStyle w:val="Heading1"/>
        <w:numPr>
          <w:ilvl w:val="0"/>
          <w:numId w:val="24"/>
        </w:numPr>
        <w:rPr>
          <w:rFonts w:cs="Arial"/>
          <w:szCs w:val="24"/>
        </w:rPr>
      </w:pPr>
      <w:bookmarkStart w:id="14" w:name="_Toc72762022"/>
      <w:bookmarkStart w:id="15" w:name="_Toc117593897"/>
      <w:r w:rsidRPr="00612FEB">
        <w:rPr>
          <w:rFonts w:cs="Arial"/>
          <w:szCs w:val="24"/>
        </w:rPr>
        <w:lastRenderedPageBreak/>
        <w:t>GUIDELINE CONTENT</w:t>
      </w:r>
      <w:bookmarkEnd w:id="14"/>
      <w:bookmarkEnd w:id="15"/>
      <w:r w:rsidRPr="00612FEB">
        <w:rPr>
          <w:rFonts w:cs="Arial"/>
          <w:szCs w:val="24"/>
        </w:rPr>
        <w:t xml:space="preserve"> </w:t>
      </w:r>
    </w:p>
    <w:p w14:paraId="6199880D" w14:textId="77777777" w:rsidR="00CD79A8" w:rsidRPr="00612FEB" w:rsidRDefault="00CD79A8" w:rsidP="00CD79A8">
      <w:pPr>
        <w:pStyle w:val="Heading2"/>
        <w:numPr>
          <w:ilvl w:val="1"/>
          <w:numId w:val="24"/>
        </w:numPr>
        <w:rPr>
          <w:rFonts w:cs="Arial"/>
          <w:szCs w:val="22"/>
        </w:rPr>
      </w:pPr>
      <w:r w:rsidRPr="00612FEB">
        <w:rPr>
          <w:rFonts w:cs="Arial"/>
          <w:szCs w:val="22"/>
        </w:rPr>
        <w:t xml:space="preserve">   </w:t>
      </w:r>
      <w:bookmarkStart w:id="16" w:name="_Toc72762023"/>
      <w:bookmarkStart w:id="17" w:name="_Toc117593898"/>
      <w:r w:rsidRPr="00612FEB">
        <w:rPr>
          <w:rFonts w:cs="Arial"/>
          <w:szCs w:val="22"/>
        </w:rPr>
        <w:t>Information Category</w:t>
      </w:r>
      <w:bookmarkEnd w:id="16"/>
      <w:bookmarkEnd w:id="17"/>
      <w:r w:rsidRPr="00612FEB">
        <w:rPr>
          <w:rFonts w:cs="Arial"/>
          <w:szCs w:val="22"/>
          <w:lang w:eastAsia="zh-TW"/>
        </w:rPr>
        <w:t xml:space="preserve"> </w:t>
      </w:r>
    </w:p>
    <w:p w14:paraId="5A0536A9" w14:textId="77777777" w:rsidR="00CD79A8" w:rsidRDefault="00CD79A8" w:rsidP="00CD79A8">
      <w:pPr>
        <w:rPr>
          <w:rFonts w:cs="Arial"/>
          <w:b/>
          <w:lang w:eastAsia="zh-TW"/>
        </w:rPr>
      </w:pPr>
      <w:r>
        <w:rPr>
          <w:rFonts w:cs="Arial"/>
        </w:rPr>
        <w:t>FPT Software information must be classified into one of the following categories:</w:t>
      </w:r>
    </w:p>
    <w:tbl>
      <w:tblPr>
        <w:tblW w:w="9667" w:type="dxa"/>
        <w:tblCellMar>
          <w:left w:w="28" w:type="dxa"/>
          <w:right w:w="28" w:type="dxa"/>
        </w:tblCellMar>
        <w:tblLook w:val="04A0" w:firstRow="1" w:lastRow="0" w:firstColumn="1" w:lastColumn="0" w:noHBand="0" w:noVBand="1"/>
      </w:tblPr>
      <w:tblGrid>
        <w:gridCol w:w="9667"/>
      </w:tblGrid>
      <w:tr w:rsidR="00CD79A8" w14:paraId="72DCB6DF" w14:textId="77777777" w:rsidTr="00CD79A8">
        <w:trPr>
          <w:trHeight w:val="488"/>
        </w:trPr>
        <w:tc>
          <w:tcPr>
            <w:tcW w:w="9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EC65E" w14:textId="77777777" w:rsidR="00CD79A8" w:rsidRPr="00612FEB" w:rsidRDefault="00CD79A8">
            <w:pPr>
              <w:rPr>
                <w:rFonts w:cs="Arial"/>
                <w:b/>
              </w:rPr>
            </w:pPr>
            <w:r w:rsidRPr="00612FEB">
              <w:rPr>
                <w:rFonts w:cs="Arial"/>
                <w:b/>
              </w:rPr>
              <w:t>Information Category</w:t>
            </w:r>
          </w:p>
        </w:tc>
      </w:tr>
      <w:tr w:rsidR="00CD79A8" w14:paraId="4A51B698"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18608818" w14:textId="77777777" w:rsidR="00CD79A8" w:rsidRDefault="00CD79A8">
            <w:pPr>
              <w:rPr>
                <w:rFonts w:cs="Arial"/>
              </w:rPr>
            </w:pPr>
            <w:r>
              <w:rPr>
                <w:rFonts w:cs="Arial"/>
              </w:rPr>
              <w:t>Sensitive Personally Identifiable Information (SPII) (GDPR A.9/10, Vietnam law clause)</w:t>
            </w:r>
          </w:p>
        </w:tc>
      </w:tr>
      <w:tr w:rsidR="00CD79A8" w14:paraId="361F2EA2"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3BD6AFB3" w14:textId="77777777" w:rsidR="00CD79A8" w:rsidRDefault="00CD79A8">
            <w:pPr>
              <w:rPr>
                <w:rFonts w:cs="Arial"/>
              </w:rPr>
            </w:pPr>
            <w:r>
              <w:rPr>
                <w:rFonts w:cs="Arial"/>
              </w:rPr>
              <w:t>Customer Proprietary Network Information (CPNI)</w:t>
            </w:r>
          </w:p>
        </w:tc>
      </w:tr>
      <w:tr w:rsidR="00CD79A8" w14:paraId="4FE37553"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654CD710" w14:textId="77777777" w:rsidR="00CD79A8" w:rsidRDefault="00CD79A8">
            <w:pPr>
              <w:rPr>
                <w:rFonts w:cs="Arial"/>
              </w:rPr>
            </w:pPr>
            <w:r>
              <w:rPr>
                <w:rFonts w:cs="Arial"/>
              </w:rPr>
              <w:t>Customer Created Content</w:t>
            </w:r>
          </w:p>
        </w:tc>
      </w:tr>
      <w:tr w:rsidR="00CD79A8" w14:paraId="28C84613"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6418DC4C" w14:textId="77777777" w:rsidR="00CD79A8" w:rsidRDefault="00CD79A8" w:rsidP="00444978">
            <w:pPr>
              <w:jc w:val="both"/>
              <w:rPr>
                <w:rFonts w:cs="Arial"/>
              </w:rPr>
            </w:pPr>
            <w:r>
              <w:rPr>
                <w:rFonts w:cs="Arial"/>
              </w:rPr>
              <w:t>Employee Specific Compensation and Benefit Information, Regulatory Review, Assessment, or Audit Information</w:t>
            </w:r>
          </w:p>
        </w:tc>
      </w:tr>
      <w:tr w:rsidR="00CD79A8" w14:paraId="5A760166"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2635010C" w14:textId="77777777" w:rsidR="00CD79A8" w:rsidRDefault="00CD79A8">
            <w:pPr>
              <w:rPr>
                <w:rFonts w:cs="Arial"/>
              </w:rPr>
            </w:pPr>
            <w:r>
              <w:rPr>
                <w:rFonts w:cs="Arial"/>
              </w:rPr>
              <w:t>Protected Health Information (PHI)</w:t>
            </w:r>
          </w:p>
        </w:tc>
      </w:tr>
      <w:tr w:rsidR="00CD79A8" w14:paraId="084CC98B"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7C20904D" w14:textId="77777777" w:rsidR="00CD79A8" w:rsidRDefault="00CD79A8">
            <w:pPr>
              <w:rPr>
                <w:rFonts w:cs="Arial"/>
              </w:rPr>
            </w:pPr>
            <w:r>
              <w:rPr>
                <w:rFonts w:cs="Arial"/>
              </w:rPr>
              <w:t>Operational Information requiring the highest level of protection</w:t>
            </w:r>
          </w:p>
        </w:tc>
      </w:tr>
      <w:tr w:rsidR="00CD79A8" w14:paraId="1EC51F5A"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04DC9ECF" w14:textId="77777777" w:rsidR="00CD79A8" w:rsidRDefault="00CD79A8">
            <w:pPr>
              <w:rPr>
                <w:rFonts w:cs="Arial"/>
              </w:rPr>
            </w:pPr>
            <w:r>
              <w:rPr>
                <w:rFonts w:cs="Arial"/>
              </w:rPr>
              <w:t>Personally identifiable information (PII)</w:t>
            </w:r>
          </w:p>
        </w:tc>
      </w:tr>
      <w:tr w:rsidR="00CD79A8" w14:paraId="2ACC14B9"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0B50835C" w14:textId="77777777" w:rsidR="00CD79A8" w:rsidRDefault="00CD79A8">
            <w:pPr>
              <w:rPr>
                <w:rFonts w:cs="Arial"/>
              </w:rPr>
            </w:pPr>
            <w:r>
              <w:rPr>
                <w:rFonts w:cs="Arial"/>
              </w:rPr>
              <w:t>Employment Information including skill profile</w:t>
            </w:r>
          </w:p>
        </w:tc>
      </w:tr>
      <w:tr w:rsidR="00CD79A8" w14:paraId="2E618742"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7243CECD" w14:textId="77777777" w:rsidR="00CD79A8" w:rsidRDefault="00CD79A8">
            <w:pPr>
              <w:rPr>
                <w:rFonts w:cs="Arial"/>
              </w:rPr>
            </w:pPr>
            <w:r>
              <w:rPr>
                <w:rFonts w:cs="Arial"/>
              </w:rPr>
              <w:t>Operational Information requiring a high level of protection</w:t>
            </w:r>
          </w:p>
        </w:tc>
      </w:tr>
      <w:tr w:rsidR="00CD79A8" w14:paraId="759B5887"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6E8EC152" w14:textId="77777777" w:rsidR="00CD79A8" w:rsidRDefault="00CD79A8">
            <w:pPr>
              <w:rPr>
                <w:rFonts w:cs="Arial"/>
              </w:rPr>
            </w:pPr>
            <w:r>
              <w:rPr>
                <w:rFonts w:cs="Arial"/>
              </w:rPr>
              <w:t>Information on internal FPT Software sites</w:t>
            </w:r>
          </w:p>
        </w:tc>
      </w:tr>
      <w:tr w:rsidR="00CD79A8" w14:paraId="1253DB3A"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63A0290E" w14:textId="77777777" w:rsidR="00CD79A8" w:rsidRDefault="00CD79A8">
            <w:pPr>
              <w:rPr>
                <w:rFonts w:cs="Arial"/>
              </w:rPr>
            </w:pPr>
            <w:r>
              <w:rPr>
                <w:rFonts w:cs="Arial"/>
              </w:rPr>
              <w:t>Operational Information requiring adequate or moderate level of protection</w:t>
            </w:r>
          </w:p>
        </w:tc>
      </w:tr>
      <w:tr w:rsidR="00CD79A8" w14:paraId="4F004225"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360DEB15" w14:textId="77777777" w:rsidR="00CD79A8" w:rsidRDefault="00CD79A8">
            <w:pPr>
              <w:rPr>
                <w:rFonts w:cs="Arial"/>
              </w:rPr>
            </w:pPr>
            <w:r>
              <w:rPr>
                <w:rFonts w:cs="Arial"/>
              </w:rPr>
              <w:t>Customers’ publicly available information</w:t>
            </w:r>
          </w:p>
        </w:tc>
      </w:tr>
      <w:tr w:rsidR="00CD79A8" w14:paraId="226CF66D"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57F66426" w14:textId="77777777" w:rsidR="00CD79A8" w:rsidRDefault="00CD79A8">
            <w:pPr>
              <w:rPr>
                <w:rFonts w:cs="Arial"/>
              </w:rPr>
            </w:pPr>
            <w:r>
              <w:rPr>
                <w:rFonts w:cs="Arial"/>
              </w:rPr>
              <w:t>Information that HR has approved and officially released to public</w:t>
            </w:r>
          </w:p>
        </w:tc>
      </w:tr>
      <w:tr w:rsidR="00CD79A8" w14:paraId="4725B530" w14:textId="77777777" w:rsidTr="00CD79A8">
        <w:trPr>
          <w:trHeight w:val="488"/>
        </w:trPr>
        <w:tc>
          <w:tcPr>
            <w:tcW w:w="9667" w:type="dxa"/>
            <w:tcBorders>
              <w:top w:val="nil"/>
              <w:left w:val="single" w:sz="4" w:space="0" w:color="auto"/>
              <w:bottom w:val="single" w:sz="4" w:space="0" w:color="auto"/>
              <w:right w:val="single" w:sz="4" w:space="0" w:color="auto"/>
            </w:tcBorders>
            <w:vAlign w:val="center"/>
            <w:hideMark/>
          </w:tcPr>
          <w:p w14:paraId="4936674C" w14:textId="77777777" w:rsidR="00CD79A8" w:rsidRDefault="00CD79A8" w:rsidP="00444978">
            <w:pPr>
              <w:jc w:val="both"/>
              <w:rPr>
                <w:rFonts w:cs="Arial"/>
              </w:rPr>
            </w:pPr>
            <w:r>
              <w:rPr>
                <w:rFonts w:cs="Arial"/>
              </w:rPr>
              <w:t>Information that has been explicitly approved by the appropriate department (e.g. Media Relations, Government Affairs, and Corporate Communications, Investor relations) as suitable for public view and use</w:t>
            </w:r>
          </w:p>
        </w:tc>
      </w:tr>
    </w:tbl>
    <w:p w14:paraId="0CA4BF78" w14:textId="77777777" w:rsidR="00CD79A8" w:rsidRDefault="00CD79A8" w:rsidP="00CD79A8">
      <w:pPr>
        <w:pStyle w:val="Heading2"/>
        <w:numPr>
          <w:ilvl w:val="0"/>
          <w:numId w:val="0"/>
        </w:numPr>
        <w:ind w:left="576"/>
      </w:pPr>
    </w:p>
    <w:p w14:paraId="27520795" w14:textId="77777777" w:rsidR="00CD79A8" w:rsidRDefault="00CD79A8" w:rsidP="00CD79A8">
      <w:pPr>
        <w:spacing w:before="0" w:line="240" w:lineRule="auto"/>
        <w:rPr>
          <w:b/>
          <w:i/>
          <w:spacing w:val="-10"/>
          <w:kern w:val="28"/>
          <w:sz w:val="22"/>
        </w:rPr>
      </w:pPr>
      <w:r>
        <w:br w:type="page"/>
      </w:r>
    </w:p>
    <w:p w14:paraId="10F9A052" w14:textId="77777777" w:rsidR="00CD79A8" w:rsidRPr="00612FEB" w:rsidRDefault="00CD79A8" w:rsidP="00CD79A8">
      <w:pPr>
        <w:pStyle w:val="Heading2"/>
        <w:numPr>
          <w:ilvl w:val="1"/>
          <w:numId w:val="24"/>
        </w:numPr>
      </w:pPr>
      <w:bookmarkStart w:id="18" w:name="_Toc72762024"/>
      <w:bookmarkStart w:id="19" w:name="_Toc117593899"/>
      <w:r w:rsidRPr="00612FEB">
        <w:lastRenderedPageBreak/>
        <w:t>Data Classification Essentials</w:t>
      </w:r>
      <w:bookmarkEnd w:id="18"/>
      <w:bookmarkEnd w:id="19"/>
    </w:p>
    <w:p w14:paraId="53881E50" w14:textId="77777777" w:rsidR="00CD79A8" w:rsidRDefault="00CD79A8" w:rsidP="00251086">
      <w:pPr>
        <w:jc w:val="both"/>
      </w:pPr>
      <w:r>
        <w:t>Successful data classification requires a basic understanding of the following concepts.</w:t>
      </w:r>
    </w:p>
    <w:p w14:paraId="27FFC991" w14:textId="77777777" w:rsidR="00CD79A8" w:rsidRDefault="00CD79A8" w:rsidP="00CD79A8">
      <w:pPr>
        <w:rPr>
          <w:b/>
          <w:bCs/>
        </w:rPr>
      </w:pPr>
      <w:r>
        <w:rPr>
          <w:b/>
          <w:bCs/>
        </w:rPr>
        <w:t>Data States:</w:t>
      </w:r>
    </w:p>
    <w:p w14:paraId="1AE485BC" w14:textId="77777777" w:rsidR="00CD79A8" w:rsidRDefault="00CD79A8" w:rsidP="00612FEB">
      <w:pPr>
        <w:jc w:val="both"/>
      </w:pPr>
      <w:r>
        <w:t>Data exists in one of three states—at rest, in process, or in transit. Regardless of state, data classified as confidential must remain confidential.</w:t>
      </w:r>
    </w:p>
    <w:p w14:paraId="4BEB50C4" w14:textId="77777777" w:rsidR="00CD79A8" w:rsidRDefault="00CD79A8" w:rsidP="00CD79A8">
      <w:pPr>
        <w:spacing w:before="0" w:line="240" w:lineRule="auto"/>
      </w:pPr>
    </w:p>
    <w:p w14:paraId="1D865662" w14:textId="77777777" w:rsidR="00CD79A8" w:rsidRDefault="00CD79A8" w:rsidP="00CD79A8">
      <w:pPr>
        <w:spacing w:before="0" w:line="240" w:lineRule="auto"/>
      </w:pPr>
      <w:r>
        <w:rPr>
          <w:b/>
          <w:bCs/>
        </w:rPr>
        <w:t>Data Format:</w:t>
      </w:r>
    </w:p>
    <w:p w14:paraId="45ACA5A6" w14:textId="77777777" w:rsidR="00CD79A8" w:rsidRDefault="00CD79A8" w:rsidP="00612FEB">
      <w:pPr>
        <w:jc w:val="both"/>
      </w:pPr>
      <w:r>
        <w:t>Data can be either structured or unstructured. Structured data are usually human readable and can be indexed. Examples of structured data are database objects and spreadsheets. Unstructured data are usually not human readable or indexable. Examples of unstructured data are source code, documents, and binaries. Classifying structured data is less complex and time-consuming than classifying unstructured data.</w:t>
      </w:r>
    </w:p>
    <w:p w14:paraId="0B5BA60D" w14:textId="77777777" w:rsidR="00CD79A8" w:rsidRDefault="00CD79A8" w:rsidP="00CD79A8">
      <w:pPr>
        <w:rPr>
          <w:b/>
          <w:bCs/>
        </w:rPr>
      </w:pPr>
      <w:r>
        <w:rPr>
          <w:b/>
          <w:bCs/>
        </w:rPr>
        <w:t>Data Discovery:</w:t>
      </w:r>
    </w:p>
    <w:p w14:paraId="55FE04E8" w14:textId="4AA28237" w:rsidR="00CD79A8" w:rsidRDefault="00CD79A8" w:rsidP="00251086">
      <w:pPr>
        <w:jc w:val="both"/>
      </w:pPr>
      <w:r>
        <w:t xml:space="preserve">Classifying data requires knowing the location, volume, and context of data on premises, in the cloud, and in legacy databases (See data inventory: </w:t>
      </w:r>
      <w:proofErr w:type="spellStart"/>
      <w:r>
        <w:t>Template_Personal</w:t>
      </w:r>
      <w:proofErr w:type="spellEnd"/>
      <w:r>
        <w:t xml:space="preserve"> Data Processing Inventory_V2.</w:t>
      </w:r>
      <w:r w:rsidR="00760AB0">
        <w:t>6</w:t>
      </w:r>
      <w:r w:rsidR="00F72A4D">
        <w:t xml:space="preserve"> until 30.09.</w:t>
      </w:r>
      <w:r w:rsidR="0034528C">
        <w:t>2021, from 01.10.2021 inventory is processed, maintained and stored in DPO Tool, WEB based application on MS Azure</w:t>
      </w:r>
      <w:r>
        <w:t>, Guideline_Personal_Data_Inventory_Management_V3.</w:t>
      </w:r>
      <w:r w:rsidR="00760AB0">
        <w:t>3</w:t>
      </w:r>
      <w:r>
        <w:t>).</w:t>
      </w:r>
    </w:p>
    <w:p w14:paraId="0D0F1D5D" w14:textId="77777777" w:rsidR="00CD79A8" w:rsidRDefault="00CD79A8" w:rsidP="00251086">
      <w:pPr>
        <w:jc w:val="both"/>
        <w:rPr>
          <w:b/>
          <w:bCs/>
        </w:rPr>
      </w:pPr>
      <w:r>
        <w:rPr>
          <w:b/>
          <w:bCs/>
        </w:rPr>
        <w:t>Data Sensitivity:</w:t>
      </w:r>
    </w:p>
    <w:p w14:paraId="17E62D8A" w14:textId="77777777" w:rsidR="00CD79A8" w:rsidRDefault="00CD79A8" w:rsidP="00251086">
      <w:pPr>
        <w:jc w:val="both"/>
      </w:pPr>
      <w:r>
        <w:t>Data is classified according to its sensitivity highly confidential, confidential, internal only and public.</w:t>
      </w:r>
    </w:p>
    <w:p w14:paraId="746DB5CF" w14:textId="77777777" w:rsidR="00CD79A8" w:rsidRDefault="00CD79A8" w:rsidP="00251086">
      <w:pPr>
        <w:jc w:val="both"/>
      </w:pPr>
      <w:r>
        <w:t>High sensitivity data, if compromised or destroyed in an unauthorized transaction, would have a catastrophic impact on the organization or individual(s). High sensitivity data includes personal data, financial records, legal data, business data such as intellectual property, authentication data, etc.</w:t>
      </w:r>
    </w:p>
    <w:p w14:paraId="2FE4CC9F" w14:textId="77777777" w:rsidR="00CD79A8" w:rsidRDefault="00CD79A8" w:rsidP="00251086">
      <w:pPr>
        <w:jc w:val="both"/>
      </w:pPr>
      <w:r>
        <w:t>Medium sensitivity data is for internal use only, but if compromised or destroyed, would not have a catastrophic impact on the organization or individual(s.) Examples of medium sensitivity data are emails and documents that do not include confidential data.</w:t>
      </w:r>
    </w:p>
    <w:p w14:paraId="778AC481" w14:textId="77777777" w:rsidR="00CD79A8" w:rsidRDefault="00CD79A8" w:rsidP="00251086">
      <w:pPr>
        <w:jc w:val="both"/>
      </w:pPr>
      <w:r>
        <w:t xml:space="preserve">Low sensitivity data is for public use. Examples include press releases, marketing materials, website content. </w:t>
      </w:r>
    </w:p>
    <w:p w14:paraId="21A1736A" w14:textId="77777777" w:rsidR="00CD79A8" w:rsidRDefault="00CD79A8" w:rsidP="00251086">
      <w:pPr>
        <w:jc w:val="both"/>
        <w:rPr>
          <w:b/>
          <w:bCs/>
        </w:rPr>
      </w:pPr>
      <w:r>
        <w:rPr>
          <w:b/>
          <w:bCs/>
        </w:rPr>
        <w:t xml:space="preserve">Compliance Requirements: </w:t>
      </w:r>
    </w:p>
    <w:p w14:paraId="49D5685F" w14:textId="77777777" w:rsidR="00CD79A8" w:rsidRDefault="00CD79A8" w:rsidP="00251086">
      <w:pPr>
        <w:jc w:val="both"/>
      </w:pPr>
      <w:r>
        <w:t xml:space="preserve">Data classification must comply with relevant data protection laws, regulatory and industry-specific mandates, which may require classification of different data attributes. For example, the Cloud Security Alliance (CSA) requires that data and data objects must include data type, jurisdiction of origin and domicile, context, legal constraints, sensitivity, etc. PCI DSS does not require origin or domicile tags. </w:t>
      </w:r>
      <w:r>
        <w:br w:type="page"/>
      </w:r>
    </w:p>
    <w:p w14:paraId="1B11ED90" w14:textId="77777777" w:rsidR="00CD79A8" w:rsidRPr="00612FEB" w:rsidRDefault="00CD79A8" w:rsidP="00CD79A8">
      <w:pPr>
        <w:pStyle w:val="Heading2"/>
        <w:numPr>
          <w:ilvl w:val="1"/>
          <w:numId w:val="24"/>
        </w:numPr>
        <w:rPr>
          <w:rFonts w:cs="Arial"/>
          <w:szCs w:val="22"/>
        </w:rPr>
      </w:pPr>
      <w:bookmarkStart w:id="20" w:name="_Toc72762025"/>
      <w:bookmarkStart w:id="21" w:name="_Toc117593900"/>
      <w:r w:rsidRPr="00612FEB">
        <w:rPr>
          <w:rFonts w:cs="Arial"/>
          <w:szCs w:val="22"/>
        </w:rPr>
        <w:lastRenderedPageBreak/>
        <w:t>Classification Table</w:t>
      </w:r>
      <w:bookmarkEnd w:id="20"/>
      <w:bookmarkEnd w:id="21"/>
      <w:r w:rsidRPr="00612FEB">
        <w:rPr>
          <w:rFonts w:cs="Arial"/>
          <w:szCs w:val="22"/>
        </w:rPr>
        <w:t xml:space="preserve"> </w:t>
      </w:r>
    </w:p>
    <w:p w14:paraId="19D37A1E" w14:textId="77777777" w:rsidR="00CD79A8" w:rsidRDefault="00CD79A8" w:rsidP="00612FEB">
      <w:pPr>
        <w:jc w:val="both"/>
        <w:rPr>
          <w:rFonts w:cs="Arial"/>
          <w:b/>
        </w:rPr>
      </w:pPr>
      <w:r>
        <w:rPr>
          <w:rFonts w:cs="Arial"/>
        </w:rPr>
        <w:t>If multiple classification categories apply, label and manage information at the highest level of security. For example, the appropriate label for a document containing both Internal and Confidential information is Confidential. Likewise, the appropriate label for a backup tape containing Confidential and Public information then it is Confidential.</w:t>
      </w:r>
    </w:p>
    <w:p w14:paraId="61008B57" w14:textId="77777777" w:rsidR="00CD79A8" w:rsidRDefault="00CD79A8" w:rsidP="00612FEB">
      <w:pPr>
        <w:jc w:val="both"/>
        <w:rPr>
          <w:rFonts w:cs="Arial"/>
          <w:b/>
        </w:rPr>
      </w:pPr>
      <w:r>
        <w:rPr>
          <w:rFonts w:cs="Arial"/>
        </w:rPr>
        <w:t>Team sites, shared network drives, project sites, collaborative operational SharePoint sites, or similar collaborative operational applications must be classified appropriately based on the highest classification level of information stored in them.</w:t>
      </w:r>
    </w:p>
    <w:p w14:paraId="6CEE7C84" w14:textId="77777777" w:rsidR="00CD79A8" w:rsidRDefault="00CD79A8" w:rsidP="00612FEB">
      <w:pPr>
        <w:jc w:val="both"/>
        <w:rPr>
          <w:rFonts w:cs="Arial"/>
        </w:rPr>
      </w:pPr>
      <w:r>
        <w:rPr>
          <w:rFonts w:cs="Arial"/>
          <w:b/>
          <w:u w:val="single"/>
        </w:rPr>
        <w:t>Note:</w:t>
      </w:r>
      <w:r>
        <w:rPr>
          <w:rFonts w:cs="Arial"/>
        </w:rPr>
        <w:t xml:space="preserve"> Information may still be subject to FPT Software Restricted, Confidential, or Internal classification even if it is publicly available elsewhere, where the information is collected, used, or accessed as part of FPT Software business operations.  For example, customer name, address and phone number are Confidential even though this information may have been published by the customer.</w:t>
      </w:r>
    </w:p>
    <w:p w14:paraId="142BD415" w14:textId="33C225A4" w:rsidR="00CD79A8" w:rsidRDefault="00CD79A8" w:rsidP="00CD79A8">
      <w:pPr>
        <w:spacing w:before="0" w:line="240" w:lineRule="auto"/>
        <w:rPr>
          <w:rFonts w:cs="Arial"/>
        </w:rPr>
      </w:pPr>
    </w:p>
    <w:tbl>
      <w:tblPr>
        <w:tblW w:w="9667" w:type="dxa"/>
        <w:tblCellMar>
          <w:left w:w="28" w:type="dxa"/>
          <w:right w:w="28" w:type="dxa"/>
        </w:tblCellMar>
        <w:tblLook w:val="04A0" w:firstRow="1" w:lastRow="0" w:firstColumn="1" w:lastColumn="0" w:noHBand="0" w:noVBand="1"/>
      </w:tblPr>
      <w:tblGrid>
        <w:gridCol w:w="2972"/>
        <w:gridCol w:w="6695"/>
      </w:tblGrid>
      <w:tr w:rsidR="00CD79A8" w14:paraId="2B76FE22" w14:textId="77777777" w:rsidTr="00202FC5">
        <w:trPr>
          <w:trHeight w:val="360"/>
          <w:tblHeader/>
        </w:trPr>
        <w:tc>
          <w:tcPr>
            <w:tcW w:w="96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73F47B" w14:textId="77777777" w:rsidR="00CD79A8" w:rsidRPr="00612FEB" w:rsidRDefault="00CD79A8">
            <w:pPr>
              <w:rPr>
                <w:rFonts w:cs="Arial"/>
                <w:b/>
                <w:lang w:eastAsia="zh-TW"/>
              </w:rPr>
            </w:pPr>
            <w:r w:rsidRPr="00612FEB">
              <w:rPr>
                <w:rFonts w:cs="Arial"/>
                <w:b/>
                <w:lang w:eastAsia="zh-TW"/>
              </w:rPr>
              <w:t>FPT Software Highly Confidential</w:t>
            </w:r>
          </w:p>
        </w:tc>
      </w:tr>
      <w:tr w:rsidR="00CD79A8" w14:paraId="3654FDA6" w14:textId="77777777" w:rsidTr="00202FC5">
        <w:trPr>
          <w:trHeight w:val="312"/>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0241D" w14:textId="77777777" w:rsidR="00CD79A8" w:rsidRPr="00612FEB" w:rsidRDefault="00CD79A8">
            <w:pPr>
              <w:rPr>
                <w:rFonts w:cs="Arial"/>
                <w:b/>
              </w:rPr>
            </w:pPr>
            <w:r w:rsidRPr="00612FEB">
              <w:rPr>
                <w:rFonts w:cs="Arial"/>
                <w:b/>
              </w:rPr>
              <w:t>Information category</w:t>
            </w:r>
          </w:p>
        </w:tc>
        <w:tc>
          <w:tcPr>
            <w:tcW w:w="669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762423" w14:textId="77777777" w:rsidR="00CD79A8" w:rsidRDefault="00CD79A8">
            <w:pPr>
              <w:rPr>
                <w:rFonts w:cs="Arial"/>
              </w:rPr>
            </w:pPr>
            <w:r w:rsidRPr="00612FEB">
              <w:rPr>
                <w:rFonts w:cs="Arial"/>
                <w:b/>
              </w:rPr>
              <w:t>Examples</w:t>
            </w:r>
            <w:r>
              <w:rPr>
                <w:rFonts w:cs="Arial"/>
              </w:rPr>
              <w:t xml:space="preserve"> </w:t>
            </w:r>
            <w:r w:rsidRPr="00612FEB">
              <w:rPr>
                <w:rFonts w:cs="Arial"/>
                <w:i/>
              </w:rPr>
              <w:t>(Note: This is not an all-inclusive list)</w:t>
            </w:r>
          </w:p>
        </w:tc>
      </w:tr>
      <w:tr w:rsidR="00CD79A8" w14:paraId="46B07571" w14:textId="77777777" w:rsidTr="00202FC5">
        <w:trPr>
          <w:trHeight w:val="6157"/>
        </w:trPr>
        <w:tc>
          <w:tcPr>
            <w:tcW w:w="2972" w:type="dxa"/>
            <w:tcBorders>
              <w:top w:val="nil"/>
              <w:left w:val="single" w:sz="4" w:space="0" w:color="auto"/>
              <w:bottom w:val="single" w:sz="4" w:space="0" w:color="auto"/>
              <w:right w:val="single" w:sz="4" w:space="0" w:color="auto"/>
            </w:tcBorders>
            <w:hideMark/>
          </w:tcPr>
          <w:p w14:paraId="7593A636" w14:textId="77777777" w:rsidR="00CD79A8" w:rsidRDefault="00CD79A8" w:rsidP="00612FEB">
            <w:pPr>
              <w:rPr>
                <w:rFonts w:cs="Arial"/>
              </w:rPr>
            </w:pPr>
            <w:r>
              <w:rPr>
                <w:rFonts w:cs="Arial"/>
                <w:b/>
              </w:rPr>
              <w:t>Sensitive Personally Identifiable Information (SPII)</w:t>
            </w:r>
            <w:r>
              <w:rPr>
                <w:rFonts w:cs="Arial"/>
              </w:rPr>
              <w:br/>
              <w:t>This category includes information which, by itself or in combination, can potentially be used to uniquely identify employees, subscribers, 3</w:t>
            </w:r>
            <w:r>
              <w:rPr>
                <w:rFonts w:cs="Arial"/>
                <w:vertAlign w:val="superscript"/>
              </w:rPr>
              <w:t>rd</w:t>
            </w:r>
            <w:r>
              <w:rPr>
                <w:rFonts w:cs="Arial"/>
              </w:rPr>
              <w:t xml:space="preserve"> party workers, and other service parties, including any piece of information which can potentially be used to contact, locate, impersonate, or initiate financial transactions using the identity of a single person.</w:t>
            </w:r>
            <w:r>
              <w:rPr>
                <w:rFonts w:cs="Arial"/>
              </w:rPr>
              <w:br/>
              <w:t>Contact “FHO.GDPR” team in case you have any questions</w:t>
            </w:r>
          </w:p>
        </w:tc>
        <w:tc>
          <w:tcPr>
            <w:tcW w:w="6695" w:type="dxa"/>
            <w:tcBorders>
              <w:top w:val="nil"/>
              <w:left w:val="nil"/>
              <w:bottom w:val="single" w:sz="4" w:space="0" w:color="auto"/>
              <w:right w:val="single" w:sz="4" w:space="0" w:color="auto"/>
            </w:tcBorders>
            <w:vAlign w:val="center"/>
            <w:hideMark/>
          </w:tcPr>
          <w:p w14:paraId="3C5C6ED0" w14:textId="77777777" w:rsidR="00CD79A8" w:rsidRDefault="00CD79A8" w:rsidP="00CD79A8">
            <w:pPr>
              <w:pStyle w:val="ListParagraph"/>
              <w:numPr>
                <w:ilvl w:val="0"/>
                <w:numId w:val="25"/>
              </w:numPr>
              <w:rPr>
                <w:rFonts w:cs="Arial"/>
              </w:rPr>
            </w:pPr>
            <w:r>
              <w:rPr>
                <w:rFonts w:cs="Arial"/>
              </w:rPr>
              <w:t>Social Security</w:t>
            </w:r>
          </w:p>
          <w:p w14:paraId="4113EB84" w14:textId="77777777" w:rsidR="00CD79A8" w:rsidRDefault="00CD79A8" w:rsidP="00CD79A8">
            <w:pPr>
              <w:pStyle w:val="ListParagraph"/>
              <w:numPr>
                <w:ilvl w:val="0"/>
                <w:numId w:val="25"/>
              </w:numPr>
              <w:rPr>
                <w:rFonts w:cs="Arial"/>
              </w:rPr>
            </w:pPr>
            <w:r>
              <w:rPr>
                <w:rFonts w:cs="Arial"/>
              </w:rPr>
              <w:t>Government issued ID numbers such as driver license, passport, military ID, etc.</w:t>
            </w:r>
          </w:p>
          <w:p w14:paraId="343F0B82" w14:textId="77777777" w:rsidR="00CD79A8" w:rsidRDefault="00CD79A8" w:rsidP="00CD79A8">
            <w:pPr>
              <w:pStyle w:val="ListParagraph"/>
              <w:numPr>
                <w:ilvl w:val="0"/>
                <w:numId w:val="25"/>
              </w:numPr>
              <w:rPr>
                <w:rFonts w:cs="Arial"/>
              </w:rPr>
            </w:pPr>
            <w:r>
              <w:rPr>
                <w:rFonts w:cs="Arial"/>
              </w:rPr>
              <w:t>Date of birth, religion</w:t>
            </w:r>
          </w:p>
          <w:p w14:paraId="71A94AEC" w14:textId="77777777" w:rsidR="00CD79A8" w:rsidRDefault="00CD79A8" w:rsidP="00CD79A8">
            <w:pPr>
              <w:pStyle w:val="ListParagraph"/>
              <w:numPr>
                <w:ilvl w:val="0"/>
                <w:numId w:val="25"/>
              </w:numPr>
              <w:rPr>
                <w:rFonts w:cs="Arial"/>
              </w:rPr>
            </w:pPr>
            <w:r>
              <w:rPr>
                <w:rFonts w:cs="Arial"/>
              </w:rPr>
              <w:t>Payment card information (PCI) –</w:t>
            </w:r>
            <w:r>
              <w:rPr>
                <w:rFonts w:cs="Arial"/>
              </w:rPr>
              <w:br/>
              <w:t>Primary Account Number (PAN) by itself or in combination with one, some or all of the following data items</w:t>
            </w:r>
            <w:r>
              <w:rPr>
                <w:rFonts w:cs="Arial"/>
              </w:rPr>
              <w:br/>
              <w:t>· Cardholder name</w:t>
            </w:r>
            <w:r>
              <w:rPr>
                <w:rFonts w:cs="Arial"/>
              </w:rPr>
              <w:br/>
              <w:t>· Service code</w:t>
            </w:r>
            <w:r>
              <w:rPr>
                <w:rFonts w:cs="Arial"/>
              </w:rPr>
              <w:br/>
              <w:t>· Expiration date</w:t>
            </w:r>
            <w:r>
              <w:rPr>
                <w:rFonts w:cs="Arial"/>
              </w:rPr>
              <w:br/>
              <w:t>· Sensitive authentication data</w:t>
            </w:r>
            <w:r>
              <w:rPr>
                <w:rFonts w:cs="Arial"/>
              </w:rPr>
              <w:br/>
              <w:t>- Full track data (magnetic stripe or equivalent on a chip)</w:t>
            </w:r>
            <w:r>
              <w:rPr>
                <w:rFonts w:cs="Arial"/>
              </w:rPr>
              <w:br/>
              <w:t>- CAV2/CVC2/CVV2/CID numbers</w:t>
            </w:r>
            <w:r>
              <w:rPr>
                <w:rFonts w:cs="Arial"/>
              </w:rPr>
              <w:br/>
              <w:t>- PIN/PIN block</w:t>
            </w:r>
            <w:r>
              <w:rPr>
                <w:rFonts w:cs="Arial"/>
              </w:rPr>
              <w:br/>
              <w:t>Payment cards include credit cards, debit cards or prepaid cards that are branded such as Visa, MasterCard, American Express, etc.</w:t>
            </w:r>
            <w:r>
              <w:rPr>
                <w:rFonts w:cs="Arial"/>
              </w:rPr>
              <w:br/>
              <w:t>Account number in combination with any required security code, access code, or password that would permit access to an individual’s financial account.</w:t>
            </w:r>
          </w:p>
          <w:p w14:paraId="06AC31A1" w14:textId="77777777" w:rsidR="00CD79A8" w:rsidRDefault="00CD79A8" w:rsidP="00CD79A8">
            <w:pPr>
              <w:pStyle w:val="ListParagraph"/>
              <w:numPr>
                <w:ilvl w:val="0"/>
                <w:numId w:val="25"/>
              </w:numPr>
              <w:rPr>
                <w:rFonts w:cs="Arial"/>
              </w:rPr>
            </w:pPr>
            <w:r>
              <w:rPr>
                <w:rFonts w:cs="Arial"/>
              </w:rPr>
              <w:t>Password (account password, answers to secret questions or PIN)</w:t>
            </w:r>
          </w:p>
          <w:p w14:paraId="16F8A490" w14:textId="77777777" w:rsidR="00CD79A8" w:rsidRDefault="00CD79A8" w:rsidP="00CD79A8">
            <w:pPr>
              <w:pStyle w:val="ListParagraph"/>
              <w:numPr>
                <w:ilvl w:val="0"/>
                <w:numId w:val="25"/>
              </w:numPr>
              <w:rPr>
                <w:rFonts w:cs="Arial"/>
              </w:rPr>
            </w:pPr>
            <w:r>
              <w:rPr>
                <w:rFonts w:cs="Arial"/>
              </w:rPr>
              <w:t>Location Information: Information to pinpoint or derive the location of the handset or customer.  Examples include:</w:t>
            </w:r>
          </w:p>
          <w:p w14:paraId="5BCDEF31" w14:textId="77777777" w:rsidR="00CD79A8" w:rsidRDefault="00CD79A8" w:rsidP="00CD79A8">
            <w:pPr>
              <w:pStyle w:val="ListParagraph"/>
              <w:numPr>
                <w:ilvl w:val="0"/>
                <w:numId w:val="26"/>
              </w:numPr>
              <w:rPr>
                <w:rFonts w:cs="Arial"/>
              </w:rPr>
            </w:pPr>
            <w:r>
              <w:rPr>
                <w:rFonts w:cs="Arial"/>
              </w:rPr>
              <w:t>Cell tower location information</w:t>
            </w:r>
          </w:p>
          <w:p w14:paraId="065E2490" w14:textId="77777777" w:rsidR="00CD79A8" w:rsidRDefault="00CD79A8" w:rsidP="00CD79A8">
            <w:pPr>
              <w:pStyle w:val="ListParagraph"/>
              <w:numPr>
                <w:ilvl w:val="0"/>
                <w:numId w:val="26"/>
              </w:numPr>
              <w:rPr>
                <w:rFonts w:cs="Arial"/>
              </w:rPr>
            </w:pPr>
            <w:r>
              <w:rPr>
                <w:rFonts w:cs="Arial"/>
              </w:rPr>
              <w:lastRenderedPageBreak/>
              <w:t>E911 address</w:t>
            </w:r>
          </w:p>
          <w:p w14:paraId="64AD6228" w14:textId="0A8FBEB0" w:rsidR="00CD79A8" w:rsidRDefault="00CD79A8" w:rsidP="00CD79A8">
            <w:pPr>
              <w:pStyle w:val="ListParagraph"/>
              <w:numPr>
                <w:ilvl w:val="0"/>
                <w:numId w:val="26"/>
              </w:numPr>
              <w:rPr>
                <w:rFonts w:cs="Arial"/>
              </w:rPr>
            </w:pPr>
            <w:r>
              <w:rPr>
                <w:rFonts w:cs="Arial"/>
              </w:rPr>
              <w:t xml:space="preserve">Device latitude/longitude </w:t>
            </w:r>
            <w:r w:rsidR="0034528C">
              <w:rPr>
                <w:rFonts w:cs="Arial"/>
              </w:rPr>
              <w:t>coordinates (</w:t>
            </w:r>
            <w:r>
              <w:rPr>
                <w:rFonts w:cs="Arial"/>
              </w:rPr>
              <w:t>which can be derived with a variety of methods)</w:t>
            </w:r>
          </w:p>
          <w:p w14:paraId="6A9B7B0F" w14:textId="77777777" w:rsidR="00CD79A8" w:rsidRDefault="00CD79A8" w:rsidP="00CD79A8">
            <w:pPr>
              <w:pStyle w:val="ListParagraph"/>
              <w:numPr>
                <w:ilvl w:val="0"/>
                <w:numId w:val="26"/>
              </w:numPr>
              <w:rPr>
                <w:rFonts w:cs="Arial"/>
              </w:rPr>
            </w:pPr>
            <w:r>
              <w:rPr>
                <w:rFonts w:cs="Arial"/>
              </w:rPr>
              <w:t>IP address (network address)</w:t>
            </w:r>
          </w:p>
          <w:p w14:paraId="69CCE92E" w14:textId="77777777" w:rsidR="00CD79A8" w:rsidRDefault="00CD79A8" w:rsidP="00CD79A8">
            <w:pPr>
              <w:pStyle w:val="ListParagraph"/>
              <w:numPr>
                <w:ilvl w:val="0"/>
                <w:numId w:val="26"/>
              </w:numPr>
              <w:rPr>
                <w:rFonts w:cs="Arial"/>
              </w:rPr>
            </w:pPr>
            <w:r>
              <w:rPr>
                <w:rFonts w:cs="Arial"/>
              </w:rPr>
              <w:t>Customer location data</w:t>
            </w:r>
          </w:p>
          <w:p w14:paraId="751A77C7" w14:textId="77777777" w:rsidR="00CD79A8" w:rsidRDefault="00CD79A8" w:rsidP="00CD79A8">
            <w:pPr>
              <w:pStyle w:val="ListParagraph"/>
              <w:numPr>
                <w:ilvl w:val="0"/>
                <w:numId w:val="25"/>
              </w:numPr>
              <w:rPr>
                <w:rFonts w:cs="Arial"/>
              </w:rPr>
            </w:pPr>
            <w:r>
              <w:rPr>
                <w:rFonts w:cs="Arial"/>
              </w:rPr>
              <w:t>Customers’ behavioral tracking information is information collected from one or more sources to draw conclusions about their interests and can be used to improve ad targeting and marketing results. Examples include:</w:t>
            </w:r>
            <w:r>
              <w:rPr>
                <w:rFonts w:cs="Arial"/>
              </w:rPr>
              <w:br/>
              <w:t>Tracking the number of on-time/late payments to draw conclusions about a customer’s financial position</w:t>
            </w:r>
            <w:r>
              <w:rPr>
                <w:rFonts w:cs="Arial"/>
              </w:rPr>
              <w:br/>
              <w:t>Information collected from online cookies to track activities or draw conclusions about their interests from the items clicked or amount of time spent on a webpage</w:t>
            </w:r>
          </w:p>
          <w:p w14:paraId="137206FB" w14:textId="77777777" w:rsidR="00CD79A8" w:rsidRDefault="00CD79A8" w:rsidP="00CD79A8">
            <w:pPr>
              <w:pStyle w:val="ListParagraph"/>
              <w:numPr>
                <w:ilvl w:val="0"/>
                <w:numId w:val="25"/>
              </w:numPr>
              <w:rPr>
                <w:rFonts w:cs="Arial"/>
              </w:rPr>
            </w:pPr>
            <w:r>
              <w:rPr>
                <w:rFonts w:cs="Arial"/>
              </w:rPr>
              <w:t>Service application, payment history, credit rating, application denial, termination of service, or collections history that are tied to a customer’s name or account number</w:t>
            </w:r>
          </w:p>
          <w:p w14:paraId="18827E10" w14:textId="77777777" w:rsidR="00CD79A8" w:rsidRDefault="00CD79A8" w:rsidP="00CD79A8">
            <w:pPr>
              <w:pStyle w:val="ListParagraph"/>
              <w:numPr>
                <w:ilvl w:val="0"/>
                <w:numId w:val="25"/>
              </w:numPr>
              <w:rPr>
                <w:rFonts w:cs="Arial"/>
              </w:rPr>
            </w:pPr>
            <w:r>
              <w:rPr>
                <w:rFonts w:cs="Arial"/>
              </w:rPr>
              <w:t>Codes on Prepaid phone cards, Google Play, or iTunes cards used in or for business purposes.</w:t>
            </w:r>
          </w:p>
          <w:p w14:paraId="612AEC19" w14:textId="77777777" w:rsidR="00CD79A8" w:rsidRDefault="00CD79A8" w:rsidP="00CD79A8">
            <w:pPr>
              <w:pStyle w:val="ListParagraph"/>
              <w:numPr>
                <w:ilvl w:val="0"/>
                <w:numId w:val="25"/>
              </w:numPr>
              <w:rPr>
                <w:rFonts w:cs="Arial"/>
              </w:rPr>
            </w:pPr>
            <w:r>
              <w:rPr>
                <w:rFonts w:cs="Arial"/>
              </w:rPr>
              <w:t>Employee and candidate information, including:</w:t>
            </w:r>
            <w:r>
              <w:rPr>
                <w:rFonts w:cs="Arial"/>
              </w:rPr>
              <w:br/>
              <w:t>· CVs, skill profile, citizenship or immigration status</w:t>
            </w:r>
            <w:r>
              <w:rPr>
                <w:rFonts w:cs="Arial"/>
              </w:rPr>
              <w:br/>
              <w:t>· Race or ethnicity</w:t>
            </w:r>
            <w:r>
              <w:rPr>
                <w:rFonts w:cs="Arial"/>
              </w:rPr>
              <w:br/>
              <w:t>· Gender and/or sexual orientation</w:t>
            </w:r>
            <w:r>
              <w:rPr>
                <w:rFonts w:cs="Arial"/>
              </w:rPr>
              <w:br/>
              <w:t>· Biometric information such as fingerprints or face ID</w:t>
            </w:r>
            <w:r>
              <w:rPr>
                <w:rFonts w:cs="Arial"/>
              </w:rPr>
              <w:br/>
              <w:t>· Religious affiliation</w:t>
            </w:r>
            <w:r>
              <w:rPr>
                <w:rFonts w:cs="Arial"/>
              </w:rPr>
              <w:br/>
              <w:t>· Criminal history</w:t>
            </w:r>
            <w:r>
              <w:rPr>
                <w:rFonts w:cs="Arial"/>
              </w:rPr>
              <w:br/>
              <w:t>· Records of personal bankruptcy</w:t>
            </w:r>
          </w:p>
        </w:tc>
      </w:tr>
      <w:tr w:rsidR="00CD79A8" w14:paraId="16E37561" w14:textId="77777777" w:rsidTr="00202FC5">
        <w:trPr>
          <w:trHeight w:val="2208"/>
        </w:trPr>
        <w:tc>
          <w:tcPr>
            <w:tcW w:w="2972" w:type="dxa"/>
            <w:tcBorders>
              <w:top w:val="nil"/>
              <w:left w:val="single" w:sz="4" w:space="0" w:color="auto"/>
              <w:bottom w:val="single" w:sz="4" w:space="0" w:color="auto"/>
              <w:right w:val="single" w:sz="4" w:space="0" w:color="auto"/>
            </w:tcBorders>
            <w:hideMark/>
          </w:tcPr>
          <w:p w14:paraId="7A963B47" w14:textId="77777777" w:rsidR="00CD79A8" w:rsidRDefault="00CD79A8" w:rsidP="00612FEB">
            <w:pPr>
              <w:rPr>
                <w:rFonts w:cs="Arial"/>
              </w:rPr>
            </w:pPr>
            <w:r>
              <w:rPr>
                <w:rFonts w:cs="Arial"/>
              </w:rPr>
              <w:lastRenderedPageBreak/>
              <w:t>Customer Proprietary Network Information (CPNI)</w:t>
            </w:r>
          </w:p>
        </w:tc>
        <w:tc>
          <w:tcPr>
            <w:tcW w:w="6695" w:type="dxa"/>
            <w:tcBorders>
              <w:top w:val="nil"/>
              <w:left w:val="nil"/>
              <w:bottom w:val="single" w:sz="4" w:space="0" w:color="auto"/>
              <w:right w:val="single" w:sz="4" w:space="0" w:color="auto"/>
            </w:tcBorders>
            <w:vAlign w:val="center"/>
            <w:hideMark/>
          </w:tcPr>
          <w:p w14:paraId="706CFAB7" w14:textId="77777777" w:rsidR="00CD79A8" w:rsidRDefault="00CD79A8">
            <w:pPr>
              <w:rPr>
                <w:rFonts w:cs="Arial"/>
                <w:lang w:eastAsia="zh-TW"/>
              </w:rPr>
            </w:pPr>
            <w:r>
              <w:rPr>
                <w:rFonts w:cs="Arial"/>
              </w:rPr>
              <w:t>Individually identifiable CPNI is restricted and includes:</w:t>
            </w:r>
          </w:p>
          <w:p w14:paraId="1FDB3C4A" w14:textId="77777777" w:rsidR="00CD79A8" w:rsidRDefault="00CD79A8" w:rsidP="00CD79A8">
            <w:pPr>
              <w:pStyle w:val="ListParagraph"/>
              <w:numPr>
                <w:ilvl w:val="0"/>
                <w:numId w:val="27"/>
              </w:numPr>
              <w:rPr>
                <w:rFonts w:cs="Arial"/>
                <w:lang w:eastAsia="zh-TW"/>
              </w:rPr>
            </w:pPr>
            <w:r>
              <w:rPr>
                <w:rFonts w:cs="Arial"/>
              </w:rPr>
              <w:t>Quantity – how often a number is dialed or sent a message</w:t>
            </w:r>
          </w:p>
          <w:p w14:paraId="38A49576" w14:textId="77777777" w:rsidR="00CD79A8" w:rsidRDefault="00CD79A8" w:rsidP="0012096C">
            <w:pPr>
              <w:pStyle w:val="ListParagraph"/>
              <w:numPr>
                <w:ilvl w:val="0"/>
                <w:numId w:val="27"/>
              </w:numPr>
              <w:jc w:val="both"/>
              <w:rPr>
                <w:rFonts w:cs="Arial"/>
                <w:lang w:eastAsia="zh-TW"/>
              </w:rPr>
            </w:pPr>
            <w:r>
              <w:rPr>
                <w:rFonts w:cs="Arial"/>
              </w:rPr>
              <w:t>Configuration – rate plan and features</w:t>
            </w:r>
          </w:p>
          <w:p w14:paraId="1D069AA6" w14:textId="77777777" w:rsidR="00CD79A8" w:rsidRDefault="00CD79A8" w:rsidP="0012096C">
            <w:pPr>
              <w:pStyle w:val="ListParagraph"/>
              <w:numPr>
                <w:ilvl w:val="0"/>
                <w:numId w:val="27"/>
              </w:numPr>
              <w:jc w:val="both"/>
              <w:rPr>
                <w:rFonts w:cs="Arial"/>
                <w:lang w:eastAsia="zh-TW"/>
              </w:rPr>
            </w:pPr>
            <w:r>
              <w:rPr>
                <w:rFonts w:cs="Arial"/>
              </w:rPr>
              <w:t>Type – mobile to mobile or roaming</w:t>
            </w:r>
          </w:p>
          <w:p w14:paraId="2167906C" w14:textId="77777777" w:rsidR="00CD79A8" w:rsidRDefault="00CD79A8" w:rsidP="0012096C">
            <w:pPr>
              <w:pStyle w:val="ListParagraph"/>
              <w:numPr>
                <w:ilvl w:val="0"/>
                <w:numId w:val="27"/>
              </w:numPr>
              <w:jc w:val="both"/>
              <w:rPr>
                <w:rFonts w:cs="Arial"/>
                <w:lang w:eastAsia="zh-TW"/>
              </w:rPr>
            </w:pPr>
            <w:r>
              <w:rPr>
                <w:rFonts w:cs="Arial"/>
              </w:rPr>
              <w:t>Call/Message Destination – the number called or data sent to</w:t>
            </w:r>
          </w:p>
          <w:p w14:paraId="1D1C48F7" w14:textId="77777777" w:rsidR="00CD79A8" w:rsidRDefault="00CD79A8" w:rsidP="0012096C">
            <w:pPr>
              <w:pStyle w:val="ListParagraph"/>
              <w:numPr>
                <w:ilvl w:val="0"/>
                <w:numId w:val="27"/>
              </w:numPr>
              <w:jc w:val="both"/>
              <w:rPr>
                <w:rFonts w:cs="Arial"/>
                <w:lang w:eastAsia="zh-TW"/>
              </w:rPr>
            </w:pPr>
            <w:r>
              <w:rPr>
                <w:rFonts w:cs="Arial"/>
              </w:rPr>
              <w:t>Location – origin and destination location</w:t>
            </w:r>
          </w:p>
          <w:p w14:paraId="6127FB61" w14:textId="77777777" w:rsidR="00CD79A8" w:rsidRDefault="00CD79A8" w:rsidP="00CD79A8">
            <w:pPr>
              <w:pStyle w:val="ListParagraph"/>
              <w:numPr>
                <w:ilvl w:val="0"/>
                <w:numId w:val="27"/>
              </w:numPr>
              <w:rPr>
                <w:rFonts w:cs="Arial"/>
                <w:lang w:eastAsia="zh-TW"/>
              </w:rPr>
            </w:pPr>
            <w:r>
              <w:rPr>
                <w:rFonts w:cs="Arial"/>
              </w:rPr>
              <w:t>Amount – minutes used or duration of call</w:t>
            </w:r>
          </w:p>
          <w:p w14:paraId="55E3954C" w14:textId="77777777" w:rsidR="00CD79A8" w:rsidRDefault="00CD79A8" w:rsidP="00CD79A8">
            <w:pPr>
              <w:pStyle w:val="ListParagraph"/>
              <w:numPr>
                <w:ilvl w:val="0"/>
                <w:numId w:val="27"/>
              </w:numPr>
              <w:rPr>
                <w:rFonts w:cs="Arial"/>
                <w:lang w:eastAsia="zh-TW"/>
              </w:rPr>
            </w:pPr>
            <w:r>
              <w:rPr>
                <w:rFonts w:cs="Arial"/>
              </w:rPr>
              <w:t>Date &amp; time – when the transmission took place</w:t>
            </w:r>
          </w:p>
        </w:tc>
      </w:tr>
      <w:tr w:rsidR="00CD79A8" w14:paraId="1868C9E5" w14:textId="77777777" w:rsidTr="00202FC5">
        <w:trPr>
          <w:trHeight w:val="552"/>
        </w:trPr>
        <w:tc>
          <w:tcPr>
            <w:tcW w:w="2972" w:type="dxa"/>
            <w:tcBorders>
              <w:top w:val="nil"/>
              <w:left w:val="single" w:sz="4" w:space="0" w:color="auto"/>
              <w:bottom w:val="single" w:sz="4" w:space="0" w:color="auto"/>
              <w:right w:val="single" w:sz="4" w:space="0" w:color="auto"/>
            </w:tcBorders>
            <w:hideMark/>
          </w:tcPr>
          <w:p w14:paraId="2F1ACBE0" w14:textId="77777777" w:rsidR="00CD79A8" w:rsidRDefault="00CD79A8" w:rsidP="00612FEB">
            <w:pPr>
              <w:rPr>
                <w:rFonts w:cs="Arial"/>
              </w:rPr>
            </w:pPr>
            <w:r>
              <w:rPr>
                <w:rFonts w:cs="Arial"/>
              </w:rPr>
              <w:t>Customer Created Content</w:t>
            </w:r>
          </w:p>
        </w:tc>
        <w:tc>
          <w:tcPr>
            <w:tcW w:w="6695" w:type="dxa"/>
            <w:tcBorders>
              <w:top w:val="nil"/>
              <w:left w:val="nil"/>
              <w:bottom w:val="single" w:sz="4" w:space="0" w:color="auto"/>
              <w:right w:val="single" w:sz="4" w:space="0" w:color="auto"/>
            </w:tcBorders>
            <w:vAlign w:val="center"/>
            <w:hideMark/>
          </w:tcPr>
          <w:p w14:paraId="320C2EB6" w14:textId="77777777" w:rsidR="00CD79A8" w:rsidRDefault="00CD79A8">
            <w:pPr>
              <w:rPr>
                <w:rFonts w:cs="Arial"/>
              </w:rPr>
            </w:pPr>
            <w:r>
              <w:rPr>
                <w:rFonts w:cs="Arial"/>
              </w:rPr>
              <w:t>Includes the content of text messages, emails, pictures, address book contacts, and customer marketing communication preference data.</w:t>
            </w:r>
          </w:p>
        </w:tc>
      </w:tr>
      <w:tr w:rsidR="00CD79A8" w14:paraId="28C74EFB" w14:textId="77777777" w:rsidTr="00202FC5">
        <w:trPr>
          <w:trHeight w:val="217"/>
        </w:trPr>
        <w:tc>
          <w:tcPr>
            <w:tcW w:w="2972" w:type="dxa"/>
            <w:tcBorders>
              <w:top w:val="nil"/>
              <w:left w:val="single" w:sz="4" w:space="0" w:color="auto"/>
              <w:bottom w:val="single" w:sz="4" w:space="0" w:color="auto"/>
              <w:right w:val="single" w:sz="4" w:space="0" w:color="auto"/>
            </w:tcBorders>
            <w:hideMark/>
          </w:tcPr>
          <w:p w14:paraId="07161E80" w14:textId="77777777" w:rsidR="00CD79A8" w:rsidRDefault="00CD79A8" w:rsidP="00612FEB">
            <w:pPr>
              <w:rPr>
                <w:rFonts w:cs="Arial"/>
              </w:rPr>
            </w:pPr>
            <w:r>
              <w:rPr>
                <w:rFonts w:cs="Arial"/>
              </w:rPr>
              <w:lastRenderedPageBreak/>
              <w:t>Employee Specific Compensation and Benefit Information, Regulatory Review, Assessment, or Audit Information</w:t>
            </w:r>
          </w:p>
        </w:tc>
        <w:tc>
          <w:tcPr>
            <w:tcW w:w="6695" w:type="dxa"/>
            <w:tcBorders>
              <w:top w:val="nil"/>
              <w:left w:val="nil"/>
              <w:bottom w:val="single" w:sz="4" w:space="0" w:color="auto"/>
              <w:right w:val="single" w:sz="4" w:space="0" w:color="auto"/>
            </w:tcBorders>
            <w:vAlign w:val="center"/>
            <w:hideMark/>
          </w:tcPr>
          <w:p w14:paraId="769CD2D6" w14:textId="77777777" w:rsidR="00CD79A8" w:rsidRDefault="00CD79A8" w:rsidP="00251086">
            <w:pPr>
              <w:jc w:val="both"/>
              <w:rPr>
                <w:rFonts w:cs="Arial"/>
                <w:lang w:eastAsia="zh-TW"/>
              </w:rPr>
            </w:pPr>
            <w:r>
              <w:rPr>
                <w:rFonts w:cs="Arial"/>
              </w:rPr>
              <w:t>Individual’s personal wage, bonus, stock information, payroll deductions …</w:t>
            </w:r>
          </w:p>
          <w:p w14:paraId="795160BD" w14:textId="77777777" w:rsidR="00CD79A8" w:rsidRDefault="00CD79A8" w:rsidP="00251086">
            <w:pPr>
              <w:pStyle w:val="ListParagraph"/>
              <w:numPr>
                <w:ilvl w:val="0"/>
                <w:numId w:val="28"/>
              </w:numPr>
              <w:jc w:val="both"/>
              <w:rPr>
                <w:rFonts w:cs="Arial"/>
                <w:lang w:eastAsia="zh-TW"/>
              </w:rPr>
            </w:pPr>
            <w:r>
              <w:rPr>
                <w:rFonts w:cs="Arial"/>
              </w:rPr>
              <w:t>Benefit information (life insurance, leave of absence, short-term and long-term disability selections, flexible spending accounts, dependent information, etc.)</w:t>
            </w:r>
          </w:p>
          <w:p w14:paraId="41F91C62" w14:textId="77777777" w:rsidR="00CD79A8" w:rsidRDefault="00CD79A8" w:rsidP="00251086">
            <w:pPr>
              <w:pStyle w:val="ListParagraph"/>
              <w:numPr>
                <w:ilvl w:val="0"/>
                <w:numId w:val="28"/>
              </w:numPr>
              <w:jc w:val="both"/>
              <w:rPr>
                <w:rFonts w:cs="Arial"/>
                <w:lang w:eastAsia="zh-TW"/>
              </w:rPr>
            </w:pPr>
            <w:r>
              <w:rPr>
                <w:rFonts w:cs="Arial"/>
              </w:rPr>
              <w:t>Employee performance reviews</w:t>
            </w:r>
          </w:p>
          <w:p w14:paraId="0CC2C0D5" w14:textId="3DAE202B" w:rsidR="00CD79A8" w:rsidRDefault="00CD79A8" w:rsidP="00251086">
            <w:pPr>
              <w:pStyle w:val="ListParagraph"/>
              <w:numPr>
                <w:ilvl w:val="0"/>
                <w:numId w:val="28"/>
              </w:numPr>
              <w:jc w:val="both"/>
              <w:rPr>
                <w:rFonts w:cs="Arial"/>
                <w:lang w:eastAsia="zh-TW"/>
              </w:rPr>
            </w:pPr>
            <w:r>
              <w:rPr>
                <w:rFonts w:cs="Arial"/>
              </w:rPr>
              <w:t xml:space="preserve">OFCCP (Office of Federal Contract Compliance Programs) reports, </w:t>
            </w:r>
            <w:r w:rsidR="0034528C">
              <w:rPr>
                <w:rFonts w:cs="Arial"/>
              </w:rPr>
              <w:t>reviews,</w:t>
            </w:r>
            <w:r>
              <w:rPr>
                <w:rFonts w:cs="Arial"/>
              </w:rPr>
              <w:t xml:space="preserve"> and audit findings (applicable in the US)</w:t>
            </w:r>
          </w:p>
          <w:p w14:paraId="266C6E11" w14:textId="77777777" w:rsidR="00CD79A8" w:rsidRDefault="00CD79A8" w:rsidP="00251086">
            <w:pPr>
              <w:pStyle w:val="ListParagraph"/>
              <w:numPr>
                <w:ilvl w:val="0"/>
                <w:numId w:val="28"/>
              </w:numPr>
              <w:jc w:val="both"/>
              <w:rPr>
                <w:rFonts w:cs="Arial"/>
                <w:lang w:eastAsia="zh-TW"/>
              </w:rPr>
            </w:pPr>
            <w:r>
              <w:rPr>
                <w:rFonts w:cs="Arial"/>
              </w:rPr>
              <w:t>Equal Employment Opportunity Commission reviews and findings</w:t>
            </w:r>
          </w:p>
        </w:tc>
      </w:tr>
      <w:tr w:rsidR="00CD79A8" w14:paraId="606D6733" w14:textId="77777777" w:rsidTr="00202FC5">
        <w:trPr>
          <w:trHeight w:val="1104"/>
        </w:trPr>
        <w:tc>
          <w:tcPr>
            <w:tcW w:w="2972" w:type="dxa"/>
            <w:tcBorders>
              <w:top w:val="nil"/>
              <w:left w:val="single" w:sz="4" w:space="0" w:color="auto"/>
              <w:bottom w:val="single" w:sz="4" w:space="0" w:color="auto"/>
              <w:right w:val="single" w:sz="4" w:space="0" w:color="auto"/>
            </w:tcBorders>
            <w:hideMark/>
          </w:tcPr>
          <w:p w14:paraId="012DADA2" w14:textId="77777777" w:rsidR="00CD79A8" w:rsidRDefault="00CD79A8" w:rsidP="00612FEB">
            <w:pPr>
              <w:rPr>
                <w:rFonts w:cs="Arial"/>
              </w:rPr>
            </w:pPr>
            <w:r>
              <w:rPr>
                <w:rFonts w:cs="Arial"/>
              </w:rPr>
              <w:t>Protected Health Information (PHI)</w:t>
            </w:r>
          </w:p>
        </w:tc>
        <w:tc>
          <w:tcPr>
            <w:tcW w:w="6695" w:type="dxa"/>
            <w:tcBorders>
              <w:top w:val="nil"/>
              <w:left w:val="nil"/>
              <w:bottom w:val="single" w:sz="4" w:space="0" w:color="auto"/>
              <w:right w:val="single" w:sz="4" w:space="0" w:color="auto"/>
            </w:tcBorders>
            <w:vAlign w:val="center"/>
            <w:hideMark/>
          </w:tcPr>
          <w:p w14:paraId="506AC70A" w14:textId="0D78E0AD" w:rsidR="00CD79A8" w:rsidRDefault="00CD79A8" w:rsidP="00251086">
            <w:pPr>
              <w:pStyle w:val="ListParagraph"/>
              <w:numPr>
                <w:ilvl w:val="0"/>
                <w:numId w:val="29"/>
              </w:numPr>
              <w:jc w:val="both"/>
              <w:rPr>
                <w:rFonts w:cs="Arial"/>
                <w:lang w:eastAsia="zh-TW"/>
              </w:rPr>
            </w:pPr>
            <w:r>
              <w:rPr>
                <w:rFonts w:cs="Arial"/>
              </w:rPr>
              <w:t xml:space="preserve">Past, </w:t>
            </w:r>
            <w:r w:rsidR="0034528C">
              <w:rPr>
                <w:rFonts w:cs="Arial"/>
              </w:rPr>
              <w:t>present,</w:t>
            </w:r>
            <w:r>
              <w:rPr>
                <w:rFonts w:cs="Arial"/>
              </w:rPr>
              <w:t xml:space="preserve"> or future medical conditions or mental health information</w:t>
            </w:r>
          </w:p>
          <w:p w14:paraId="2B62A466" w14:textId="77777777" w:rsidR="00CD79A8" w:rsidRDefault="00CD79A8" w:rsidP="00251086">
            <w:pPr>
              <w:pStyle w:val="ListParagraph"/>
              <w:numPr>
                <w:ilvl w:val="0"/>
                <w:numId w:val="29"/>
              </w:numPr>
              <w:jc w:val="both"/>
              <w:rPr>
                <w:rFonts w:cs="Arial"/>
                <w:lang w:eastAsia="zh-TW"/>
              </w:rPr>
            </w:pPr>
            <w:r>
              <w:rPr>
                <w:rFonts w:cs="Arial"/>
              </w:rPr>
              <w:t>Medical records, medical/insurance billing, data</w:t>
            </w:r>
          </w:p>
          <w:p w14:paraId="0249B33A" w14:textId="77777777" w:rsidR="00CD79A8" w:rsidRDefault="00CD79A8" w:rsidP="00251086">
            <w:pPr>
              <w:pStyle w:val="ListParagraph"/>
              <w:numPr>
                <w:ilvl w:val="0"/>
                <w:numId w:val="29"/>
              </w:numPr>
              <w:jc w:val="both"/>
              <w:rPr>
                <w:rFonts w:cs="Arial"/>
                <w:lang w:eastAsia="zh-TW"/>
              </w:rPr>
            </w:pPr>
            <w:r>
              <w:rPr>
                <w:rFonts w:cs="Arial"/>
              </w:rPr>
              <w:t>Medical claim forms, medical payments and copayments, health plan enrollment, disenrollment, and maintenance data</w:t>
            </w:r>
          </w:p>
        </w:tc>
      </w:tr>
      <w:tr w:rsidR="00CD79A8" w14:paraId="6A36F17C" w14:textId="77777777" w:rsidTr="00202FC5">
        <w:trPr>
          <w:trHeight w:val="1196"/>
        </w:trPr>
        <w:tc>
          <w:tcPr>
            <w:tcW w:w="2972" w:type="dxa"/>
            <w:tcBorders>
              <w:top w:val="nil"/>
              <w:left w:val="single" w:sz="4" w:space="0" w:color="auto"/>
              <w:bottom w:val="single" w:sz="4" w:space="0" w:color="auto"/>
              <w:right w:val="single" w:sz="4" w:space="0" w:color="auto"/>
            </w:tcBorders>
            <w:hideMark/>
          </w:tcPr>
          <w:p w14:paraId="601CF308" w14:textId="77777777" w:rsidR="00CD79A8" w:rsidRDefault="00CD79A8" w:rsidP="00612FEB">
            <w:pPr>
              <w:rPr>
                <w:rFonts w:cs="Arial"/>
              </w:rPr>
            </w:pPr>
            <w:r>
              <w:rPr>
                <w:rFonts w:cs="Arial"/>
              </w:rPr>
              <w:t>Operational Information requiring the highest level of protection</w:t>
            </w:r>
          </w:p>
        </w:tc>
        <w:tc>
          <w:tcPr>
            <w:tcW w:w="6695" w:type="dxa"/>
            <w:tcBorders>
              <w:top w:val="nil"/>
              <w:left w:val="nil"/>
              <w:bottom w:val="single" w:sz="4" w:space="0" w:color="auto"/>
              <w:right w:val="single" w:sz="4" w:space="0" w:color="auto"/>
            </w:tcBorders>
            <w:vAlign w:val="center"/>
          </w:tcPr>
          <w:p w14:paraId="51A47324" w14:textId="77777777" w:rsidR="00CD79A8" w:rsidRDefault="00CD79A8">
            <w:pPr>
              <w:rPr>
                <w:rFonts w:cs="Arial"/>
                <w:lang w:eastAsia="zh-TW"/>
              </w:rPr>
            </w:pPr>
            <w:r>
              <w:rPr>
                <w:rFonts w:cs="Arial"/>
              </w:rPr>
              <w:t>Highly sensitive competitive or strategic information:</w:t>
            </w:r>
          </w:p>
          <w:p w14:paraId="2CE201DF" w14:textId="77777777" w:rsidR="00CD79A8" w:rsidRDefault="00CD79A8" w:rsidP="00251086">
            <w:pPr>
              <w:pStyle w:val="ListParagraph"/>
              <w:numPr>
                <w:ilvl w:val="0"/>
                <w:numId w:val="30"/>
              </w:numPr>
              <w:jc w:val="both"/>
              <w:rPr>
                <w:rFonts w:cs="Arial"/>
                <w:lang w:eastAsia="zh-TW"/>
              </w:rPr>
            </w:pPr>
            <w:r>
              <w:rPr>
                <w:rFonts w:cs="Arial"/>
              </w:rPr>
              <w:t>Unpublished or future prices, fee schedules, pricing policies or formulas, or marketing plans or strategies</w:t>
            </w:r>
          </w:p>
          <w:p w14:paraId="756EA106" w14:textId="77777777" w:rsidR="00CD79A8" w:rsidRDefault="00CD79A8" w:rsidP="00251086">
            <w:pPr>
              <w:pStyle w:val="ListParagraph"/>
              <w:numPr>
                <w:ilvl w:val="0"/>
                <w:numId w:val="30"/>
              </w:numPr>
              <w:jc w:val="both"/>
              <w:rPr>
                <w:rFonts w:cs="Arial"/>
                <w:lang w:eastAsia="zh-TW"/>
              </w:rPr>
            </w:pPr>
            <w:r>
              <w:rPr>
                <w:rFonts w:cs="Arial"/>
              </w:rPr>
              <w:t>Unpublished future product offerings, service plans, release dates</w:t>
            </w:r>
          </w:p>
          <w:p w14:paraId="30245B4B" w14:textId="77777777" w:rsidR="00CD79A8" w:rsidRDefault="00CD79A8" w:rsidP="00251086">
            <w:pPr>
              <w:pStyle w:val="ListParagraph"/>
              <w:numPr>
                <w:ilvl w:val="0"/>
                <w:numId w:val="30"/>
              </w:numPr>
              <w:jc w:val="both"/>
              <w:rPr>
                <w:rFonts w:cs="Arial"/>
                <w:lang w:eastAsia="zh-TW"/>
              </w:rPr>
            </w:pPr>
            <w:r>
              <w:rPr>
                <w:rFonts w:cs="Arial"/>
              </w:rPr>
              <w:t>Future profit margins or profitability targets on specific services or products</w:t>
            </w:r>
          </w:p>
          <w:p w14:paraId="7DCF0650" w14:textId="77777777" w:rsidR="00CD79A8" w:rsidRDefault="00CD79A8" w:rsidP="00251086">
            <w:pPr>
              <w:pStyle w:val="ListParagraph"/>
              <w:numPr>
                <w:ilvl w:val="0"/>
                <w:numId w:val="30"/>
              </w:numPr>
              <w:jc w:val="both"/>
              <w:rPr>
                <w:rFonts w:cs="Arial"/>
                <w:lang w:eastAsia="zh-TW"/>
              </w:rPr>
            </w:pPr>
            <w:r>
              <w:rPr>
                <w:rFonts w:cs="Arial"/>
              </w:rPr>
              <w:t>Trade secrets, unfiled patents</w:t>
            </w:r>
          </w:p>
          <w:p w14:paraId="0A322280" w14:textId="77777777" w:rsidR="00CD79A8" w:rsidRDefault="00CD79A8" w:rsidP="00251086">
            <w:pPr>
              <w:pStyle w:val="ListParagraph"/>
              <w:numPr>
                <w:ilvl w:val="0"/>
                <w:numId w:val="30"/>
              </w:numPr>
              <w:jc w:val="both"/>
              <w:rPr>
                <w:rFonts w:cs="Arial"/>
                <w:lang w:eastAsia="zh-TW"/>
              </w:rPr>
            </w:pPr>
            <w:r>
              <w:rPr>
                <w:rFonts w:cs="Arial"/>
              </w:rPr>
              <w:t>Technical and design drawings depicting Company’s proprietary technologies</w:t>
            </w:r>
          </w:p>
          <w:p w14:paraId="406250A8" w14:textId="77777777" w:rsidR="00CD79A8" w:rsidRDefault="00CD79A8" w:rsidP="00251086">
            <w:pPr>
              <w:pStyle w:val="ListParagraph"/>
              <w:numPr>
                <w:ilvl w:val="0"/>
                <w:numId w:val="30"/>
              </w:numPr>
              <w:jc w:val="both"/>
              <w:rPr>
                <w:rFonts w:cs="Arial"/>
                <w:lang w:eastAsia="zh-TW"/>
              </w:rPr>
            </w:pPr>
            <w:r>
              <w:rPr>
                <w:rFonts w:cs="Arial"/>
              </w:rPr>
              <w:t>Current or future network planning strategies (e.g., deployment of new facilities and technologies, detailed tower locations, and capacity utilization or constraints)</w:t>
            </w:r>
          </w:p>
          <w:p w14:paraId="16BD13CD" w14:textId="77777777" w:rsidR="00CD79A8" w:rsidRDefault="00CD79A8" w:rsidP="00251086">
            <w:pPr>
              <w:pStyle w:val="ListParagraph"/>
              <w:numPr>
                <w:ilvl w:val="0"/>
                <w:numId w:val="30"/>
              </w:numPr>
              <w:jc w:val="both"/>
              <w:rPr>
                <w:rFonts w:cs="Arial"/>
                <w:lang w:eastAsia="zh-TW"/>
              </w:rPr>
            </w:pPr>
            <w:r>
              <w:rPr>
                <w:rFonts w:cs="Arial"/>
              </w:rPr>
              <w:t>Customer or prospective customer lists, prospective bidding plans, or detailed information about pending bids</w:t>
            </w:r>
          </w:p>
          <w:p w14:paraId="6EAD5FFC" w14:textId="77777777" w:rsidR="00CD79A8" w:rsidRDefault="00CD79A8" w:rsidP="00251086">
            <w:pPr>
              <w:pStyle w:val="ListParagraph"/>
              <w:numPr>
                <w:ilvl w:val="0"/>
                <w:numId w:val="30"/>
              </w:numPr>
              <w:jc w:val="both"/>
              <w:rPr>
                <w:rFonts w:cs="Arial"/>
                <w:lang w:eastAsia="zh-TW"/>
              </w:rPr>
            </w:pPr>
            <w:r>
              <w:rPr>
                <w:rFonts w:cs="Arial"/>
              </w:rPr>
              <w:t>Detailed cost information about individual products or services and intentions to bid or not bid for specific customers or products</w:t>
            </w:r>
          </w:p>
          <w:p w14:paraId="0C482F73" w14:textId="77777777" w:rsidR="00CD79A8" w:rsidRDefault="00CD79A8" w:rsidP="00251086">
            <w:pPr>
              <w:pStyle w:val="ListParagraph"/>
              <w:numPr>
                <w:ilvl w:val="0"/>
                <w:numId w:val="30"/>
              </w:numPr>
              <w:jc w:val="both"/>
              <w:rPr>
                <w:rFonts w:cs="Arial"/>
                <w:lang w:eastAsia="zh-TW"/>
              </w:rPr>
            </w:pPr>
            <w:r>
              <w:rPr>
                <w:rFonts w:cs="Arial"/>
              </w:rPr>
              <w:t>Attorney-client privilege information</w:t>
            </w:r>
          </w:p>
          <w:p w14:paraId="48510DA4" w14:textId="77777777" w:rsidR="00CD79A8" w:rsidRDefault="00CD79A8" w:rsidP="00251086">
            <w:pPr>
              <w:pStyle w:val="ListParagraph"/>
              <w:numPr>
                <w:ilvl w:val="0"/>
                <w:numId w:val="30"/>
              </w:numPr>
              <w:jc w:val="both"/>
              <w:rPr>
                <w:rFonts w:cs="Arial"/>
                <w:lang w:eastAsia="zh-TW"/>
              </w:rPr>
            </w:pPr>
            <w:r>
              <w:rPr>
                <w:rFonts w:cs="Arial"/>
              </w:rPr>
              <w:t>Audit findings, incident reports and investigation information</w:t>
            </w:r>
          </w:p>
          <w:p w14:paraId="688535A0" w14:textId="77777777" w:rsidR="00CD79A8" w:rsidRDefault="00CD79A8" w:rsidP="00251086">
            <w:pPr>
              <w:pStyle w:val="ListParagraph"/>
              <w:numPr>
                <w:ilvl w:val="0"/>
                <w:numId w:val="30"/>
              </w:numPr>
              <w:jc w:val="both"/>
              <w:rPr>
                <w:rFonts w:cs="Arial"/>
                <w:lang w:eastAsia="zh-TW"/>
              </w:rPr>
            </w:pPr>
            <w:r>
              <w:rPr>
                <w:rFonts w:cs="Arial"/>
              </w:rPr>
              <w:t>Unpublished financial reports and financial information, both historic and projected, prior to public disclosure</w:t>
            </w:r>
          </w:p>
          <w:p w14:paraId="59672E4A" w14:textId="77777777" w:rsidR="00CD79A8" w:rsidRDefault="00CD79A8" w:rsidP="00251086">
            <w:pPr>
              <w:pStyle w:val="ListParagraph"/>
              <w:numPr>
                <w:ilvl w:val="0"/>
                <w:numId w:val="30"/>
              </w:numPr>
              <w:jc w:val="both"/>
              <w:rPr>
                <w:rFonts w:cs="Arial"/>
                <w:lang w:eastAsia="zh-TW"/>
              </w:rPr>
            </w:pPr>
            <w:r>
              <w:rPr>
                <w:rFonts w:cs="Arial"/>
              </w:rPr>
              <w:t>Any information related to a merger or acquisition and/or related to a spectrum auction</w:t>
            </w:r>
          </w:p>
          <w:p w14:paraId="6667ADB0" w14:textId="77777777" w:rsidR="00CD79A8" w:rsidRDefault="00CD79A8" w:rsidP="00251086">
            <w:pPr>
              <w:pStyle w:val="ListParagraph"/>
              <w:numPr>
                <w:ilvl w:val="0"/>
                <w:numId w:val="30"/>
              </w:numPr>
              <w:jc w:val="both"/>
              <w:rPr>
                <w:rFonts w:cs="Arial"/>
                <w:lang w:eastAsia="zh-TW"/>
              </w:rPr>
            </w:pPr>
            <w:r>
              <w:rPr>
                <w:rFonts w:cs="Arial"/>
              </w:rPr>
              <w:t>System vulnerability, risk /vulnerability assessments, and risk findings/exceptions/remediation plans</w:t>
            </w:r>
          </w:p>
          <w:p w14:paraId="327F2CDA" w14:textId="77777777" w:rsidR="00CD79A8" w:rsidRDefault="00CD79A8" w:rsidP="00251086">
            <w:pPr>
              <w:pStyle w:val="ListParagraph"/>
              <w:numPr>
                <w:ilvl w:val="0"/>
                <w:numId w:val="30"/>
              </w:numPr>
              <w:jc w:val="both"/>
              <w:rPr>
                <w:rFonts w:cs="Arial"/>
                <w:lang w:eastAsia="zh-TW"/>
              </w:rPr>
            </w:pPr>
            <w:r>
              <w:rPr>
                <w:rFonts w:cs="Arial"/>
              </w:rPr>
              <w:lastRenderedPageBreak/>
              <w:t>Security risk assessments/reports/repositories which contain</w:t>
            </w:r>
            <w:r>
              <w:rPr>
                <w:rFonts w:cs="Arial"/>
                <w:lang w:eastAsia="zh-TW"/>
              </w:rPr>
              <w:t xml:space="preserve"> </w:t>
            </w:r>
            <w:r>
              <w:rPr>
                <w:rFonts w:cs="Arial"/>
              </w:rPr>
              <w:t>information about security/privacy gaps and findings.</w:t>
            </w:r>
          </w:p>
          <w:p w14:paraId="53E880F5" w14:textId="77777777" w:rsidR="00CD79A8" w:rsidRDefault="00CD79A8" w:rsidP="00251086">
            <w:pPr>
              <w:pStyle w:val="ListParagraph"/>
              <w:numPr>
                <w:ilvl w:val="0"/>
                <w:numId w:val="30"/>
              </w:numPr>
              <w:jc w:val="both"/>
              <w:rPr>
                <w:rFonts w:cs="Arial"/>
                <w:lang w:eastAsia="zh-TW"/>
              </w:rPr>
            </w:pPr>
            <w:r>
              <w:rPr>
                <w:rFonts w:cs="Arial"/>
              </w:rPr>
              <w:t>Encryption keys including private digital signature keys.</w:t>
            </w:r>
          </w:p>
          <w:p w14:paraId="7F15C36D" w14:textId="77777777" w:rsidR="00CD79A8" w:rsidRDefault="00CD79A8" w:rsidP="00251086">
            <w:pPr>
              <w:pStyle w:val="ListParagraph"/>
              <w:numPr>
                <w:ilvl w:val="0"/>
                <w:numId w:val="30"/>
              </w:numPr>
              <w:jc w:val="both"/>
              <w:rPr>
                <w:rFonts w:cs="Arial"/>
                <w:lang w:eastAsia="zh-TW"/>
              </w:rPr>
            </w:pPr>
            <w:r>
              <w:rPr>
                <w:rFonts w:cs="Arial"/>
              </w:rPr>
              <w:t>IT technical and operational information</w:t>
            </w:r>
          </w:p>
          <w:p w14:paraId="00F731F9" w14:textId="01E36C20" w:rsidR="00CD79A8" w:rsidRDefault="00CD79A8" w:rsidP="00251086">
            <w:pPr>
              <w:pStyle w:val="ListParagraph"/>
              <w:numPr>
                <w:ilvl w:val="0"/>
                <w:numId w:val="31"/>
              </w:numPr>
              <w:jc w:val="both"/>
              <w:rPr>
                <w:rFonts w:cs="Arial"/>
                <w:lang w:eastAsia="zh-TW"/>
              </w:rPr>
            </w:pPr>
            <w:r>
              <w:rPr>
                <w:rFonts w:cs="Arial"/>
              </w:rPr>
              <w:t xml:space="preserve">Authentication credentials – </w:t>
            </w:r>
            <w:r w:rsidR="0034528C">
              <w:rPr>
                <w:rFonts w:cs="Arial"/>
              </w:rPr>
              <w:t>e.g.,</w:t>
            </w:r>
            <w:r>
              <w:rPr>
                <w:rFonts w:cs="Arial"/>
              </w:rPr>
              <w:t xml:space="preserve"> </w:t>
            </w:r>
            <w:r w:rsidR="0034528C">
              <w:rPr>
                <w:rFonts w:cs="Arial"/>
              </w:rPr>
              <w:t>usernames</w:t>
            </w:r>
            <w:r>
              <w:rPr>
                <w:rFonts w:cs="Arial"/>
              </w:rPr>
              <w:t xml:space="preserve"> in combination with passwords, answers to secret questions, certificates, private keys, tokens etc.</w:t>
            </w:r>
          </w:p>
          <w:p w14:paraId="2644DD39" w14:textId="5AF3B766" w:rsidR="00CD79A8" w:rsidRDefault="00CD79A8" w:rsidP="00251086">
            <w:pPr>
              <w:pStyle w:val="ListParagraph"/>
              <w:numPr>
                <w:ilvl w:val="0"/>
                <w:numId w:val="31"/>
              </w:numPr>
              <w:jc w:val="both"/>
              <w:rPr>
                <w:rFonts w:cs="Arial"/>
                <w:lang w:eastAsia="zh-TW"/>
              </w:rPr>
            </w:pPr>
            <w:r>
              <w:rPr>
                <w:rFonts w:cs="Arial"/>
              </w:rPr>
              <w:t>Sensitive IT project information (</w:t>
            </w:r>
            <w:r w:rsidR="0034528C">
              <w:rPr>
                <w:rFonts w:cs="Arial"/>
              </w:rPr>
              <w:t>e.g.,</w:t>
            </w:r>
            <w:r>
              <w:rPr>
                <w:rFonts w:cs="Arial"/>
              </w:rPr>
              <w:t xml:space="preserve"> IP address, qualified domain names, detailed network /architectural diagrams, host names, network segmentation, etc.)</w:t>
            </w:r>
          </w:p>
          <w:p w14:paraId="3AE79D4A" w14:textId="77777777" w:rsidR="00CD79A8" w:rsidRDefault="00CD79A8" w:rsidP="00251086">
            <w:pPr>
              <w:pStyle w:val="ListParagraph"/>
              <w:numPr>
                <w:ilvl w:val="0"/>
                <w:numId w:val="31"/>
              </w:numPr>
              <w:jc w:val="both"/>
              <w:rPr>
                <w:rFonts w:cs="Arial"/>
                <w:lang w:eastAsia="zh-TW"/>
              </w:rPr>
            </w:pPr>
            <w:r>
              <w:rPr>
                <w:rFonts w:cs="Arial"/>
              </w:rPr>
              <w:t>Detailed device and system configuration</w:t>
            </w:r>
          </w:p>
          <w:p w14:paraId="6289ED18" w14:textId="77777777" w:rsidR="00CD79A8" w:rsidRDefault="00CD79A8" w:rsidP="00251086">
            <w:pPr>
              <w:pStyle w:val="ListParagraph"/>
              <w:numPr>
                <w:ilvl w:val="0"/>
                <w:numId w:val="31"/>
              </w:numPr>
              <w:jc w:val="both"/>
              <w:rPr>
                <w:rFonts w:cs="Arial"/>
                <w:lang w:eastAsia="zh-TW"/>
              </w:rPr>
            </w:pPr>
            <w:r>
              <w:rPr>
                <w:rFonts w:cs="Arial"/>
              </w:rPr>
              <w:t>Computer program source code and system design documentation</w:t>
            </w:r>
          </w:p>
          <w:p w14:paraId="6059A5B5" w14:textId="77777777" w:rsidR="00CD79A8" w:rsidRDefault="00CD79A8" w:rsidP="00251086">
            <w:pPr>
              <w:pStyle w:val="ListParagraph"/>
              <w:numPr>
                <w:ilvl w:val="0"/>
                <w:numId w:val="30"/>
              </w:numPr>
              <w:jc w:val="both"/>
              <w:rPr>
                <w:rFonts w:cs="Arial"/>
                <w:lang w:eastAsia="zh-TW"/>
              </w:rPr>
            </w:pPr>
            <w:r>
              <w:rPr>
                <w:rFonts w:cs="Arial"/>
              </w:rPr>
              <w:t>Board and management meeting minutes</w:t>
            </w:r>
          </w:p>
        </w:tc>
      </w:tr>
      <w:tr w:rsidR="00CD79A8" w14:paraId="028038CB" w14:textId="77777777" w:rsidTr="00202FC5">
        <w:trPr>
          <w:trHeight w:val="2208"/>
        </w:trPr>
        <w:tc>
          <w:tcPr>
            <w:tcW w:w="2972" w:type="dxa"/>
            <w:tcBorders>
              <w:top w:val="nil"/>
              <w:left w:val="single" w:sz="4" w:space="0" w:color="auto"/>
              <w:bottom w:val="single" w:sz="4" w:space="0" w:color="auto"/>
              <w:right w:val="single" w:sz="4" w:space="0" w:color="auto"/>
            </w:tcBorders>
            <w:hideMark/>
          </w:tcPr>
          <w:p w14:paraId="6E5F7400" w14:textId="77777777" w:rsidR="00CD79A8" w:rsidRDefault="00CD79A8" w:rsidP="00612FEB">
            <w:pPr>
              <w:rPr>
                <w:rFonts w:eastAsia="Microsoft JhengHei" w:cs="Arial"/>
                <w:b/>
                <w:bCs/>
              </w:rPr>
            </w:pPr>
            <w:r>
              <w:rPr>
                <w:rFonts w:eastAsia="Microsoft JhengHei" w:cs="Arial"/>
                <w:b/>
                <w:bCs/>
              </w:rPr>
              <w:lastRenderedPageBreak/>
              <w:t>Personally identifiable information (PII)</w:t>
            </w:r>
          </w:p>
        </w:tc>
        <w:tc>
          <w:tcPr>
            <w:tcW w:w="6695" w:type="dxa"/>
            <w:tcBorders>
              <w:top w:val="nil"/>
              <w:left w:val="nil"/>
              <w:bottom w:val="single" w:sz="4" w:space="0" w:color="auto"/>
              <w:right w:val="single" w:sz="4" w:space="0" w:color="auto"/>
            </w:tcBorders>
            <w:vAlign w:val="center"/>
            <w:hideMark/>
          </w:tcPr>
          <w:p w14:paraId="5EF20AA6" w14:textId="77777777" w:rsidR="00CD79A8" w:rsidRDefault="00CD79A8" w:rsidP="00251086">
            <w:pPr>
              <w:jc w:val="both"/>
              <w:rPr>
                <w:rFonts w:cs="Arial"/>
                <w:lang w:eastAsia="zh-TW"/>
              </w:rPr>
            </w:pPr>
            <w:r>
              <w:rPr>
                <w:rFonts w:cs="Arial"/>
              </w:rPr>
              <w:t>Information which can, or when combined can, potentially be used to uniquely identify a person or entity.</w:t>
            </w:r>
          </w:p>
          <w:p w14:paraId="068F7CD1" w14:textId="77777777" w:rsidR="00CD79A8" w:rsidRDefault="00CD79A8" w:rsidP="00251086">
            <w:pPr>
              <w:pStyle w:val="ListParagraph"/>
              <w:numPr>
                <w:ilvl w:val="0"/>
                <w:numId w:val="32"/>
              </w:numPr>
              <w:jc w:val="both"/>
              <w:rPr>
                <w:rFonts w:cs="Arial"/>
                <w:lang w:eastAsia="zh-TW"/>
              </w:rPr>
            </w:pPr>
            <w:r>
              <w:rPr>
                <w:rFonts w:cs="Arial"/>
              </w:rPr>
              <w:t>Full Name or first initial and last name in combination with a listed or implied descriptive characteristic, e.g., names of FPT Software customers.</w:t>
            </w:r>
          </w:p>
          <w:p w14:paraId="49B410BA" w14:textId="77777777" w:rsidR="00CD79A8" w:rsidRDefault="00CD79A8" w:rsidP="00251086">
            <w:pPr>
              <w:pStyle w:val="ListParagraph"/>
              <w:numPr>
                <w:ilvl w:val="0"/>
                <w:numId w:val="32"/>
              </w:numPr>
              <w:jc w:val="both"/>
              <w:rPr>
                <w:rFonts w:cs="Arial"/>
                <w:lang w:eastAsia="zh-TW"/>
              </w:rPr>
            </w:pPr>
            <w:r>
              <w:rPr>
                <w:rFonts w:cs="Arial"/>
              </w:rPr>
              <w:t>Telephone number/MSISDN/ Billing Account Number (BAN), IMEI/IMSEI Address (email/ postal address) of a customer, employee, supplier or other party.</w:t>
            </w:r>
          </w:p>
          <w:p w14:paraId="1BF28F42" w14:textId="77777777" w:rsidR="00CD79A8" w:rsidRDefault="00CD79A8" w:rsidP="00251086">
            <w:pPr>
              <w:pStyle w:val="ListParagraph"/>
              <w:numPr>
                <w:ilvl w:val="0"/>
                <w:numId w:val="32"/>
              </w:numPr>
              <w:jc w:val="both"/>
              <w:rPr>
                <w:rFonts w:cs="Arial"/>
                <w:lang w:eastAsia="zh-TW"/>
              </w:rPr>
            </w:pPr>
            <w:r>
              <w:rPr>
                <w:rFonts w:cs="Arial"/>
              </w:rPr>
              <w:t>Tax ID (EIN or ITIN or other terms used in applicable laws)</w:t>
            </w:r>
          </w:p>
          <w:p w14:paraId="436E88BB" w14:textId="77777777" w:rsidR="00CD79A8" w:rsidRDefault="00CD79A8" w:rsidP="00251086">
            <w:pPr>
              <w:pStyle w:val="ListParagraph"/>
              <w:numPr>
                <w:ilvl w:val="0"/>
                <w:numId w:val="32"/>
              </w:numPr>
              <w:jc w:val="both"/>
              <w:rPr>
                <w:rFonts w:cs="Arial"/>
                <w:lang w:eastAsia="zh-TW"/>
              </w:rPr>
            </w:pPr>
            <w:r>
              <w:rPr>
                <w:rFonts w:cs="Arial"/>
              </w:rPr>
              <w:t>Bank ABA routing number in combination with account number and name (associated with PII)</w:t>
            </w:r>
          </w:p>
        </w:tc>
      </w:tr>
      <w:tr w:rsidR="00CD79A8" w14:paraId="3AB1A869" w14:textId="77777777" w:rsidTr="00202FC5">
        <w:trPr>
          <w:trHeight w:val="3036"/>
        </w:trPr>
        <w:tc>
          <w:tcPr>
            <w:tcW w:w="2972" w:type="dxa"/>
            <w:tcBorders>
              <w:top w:val="nil"/>
              <w:left w:val="single" w:sz="4" w:space="0" w:color="auto"/>
              <w:bottom w:val="single" w:sz="4" w:space="0" w:color="auto"/>
              <w:right w:val="single" w:sz="4" w:space="0" w:color="auto"/>
            </w:tcBorders>
            <w:hideMark/>
          </w:tcPr>
          <w:p w14:paraId="0C0F6278" w14:textId="77777777" w:rsidR="00CD79A8" w:rsidRDefault="00CD79A8" w:rsidP="00612FEB">
            <w:pPr>
              <w:rPr>
                <w:rFonts w:eastAsia="Microsoft JhengHei" w:cs="Arial"/>
                <w:b/>
                <w:bCs/>
              </w:rPr>
            </w:pPr>
            <w:r>
              <w:rPr>
                <w:rFonts w:eastAsia="Microsoft JhengHei" w:cs="Arial"/>
                <w:b/>
                <w:bCs/>
              </w:rPr>
              <w:t>Employment Information</w:t>
            </w:r>
          </w:p>
        </w:tc>
        <w:tc>
          <w:tcPr>
            <w:tcW w:w="6695" w:type="dxa"/>
            <w:tcBorders>
              <w:top w:val="nil"/>
              <w:left w:val="nil"/>
              <w:bottom w:val="single" w:sz="4" w:space="0" w:color="auto"/>
              <w:right w:val="single" w:sz="4" w:space="0" w:color="auto"/>
            </w:tcBorders>
            <w:vAlign w:val="center"/>
            <w:hideMark/>
          </w:tcPr>
          <w:p w14:paraId="45415B34" w14:textId="77777777" w:rsidR="00CD79A8" w:rsidRDefault="00CD79A8" w:rsidP="00251086">
            <w:pPr>
              <w:pStyle w:val="ListParagraph"/>
              <w:numPr>
                <w:ilvl w:val="0"/>
                <w:numId w:val="33"/>
              </w:numPr>
              <w:jc w:val="both"/>
              <w:rPr>
                <w:rFonts w:cs="Arial"/>
                <w:lang w:eastAsia="zh-TW"/>
              </w:rPr>
            </w:pPr>
            <w:r>
              <w:rPr>
                <w:rFonts w:cs="Arial"/>
              </w:rPr>
              <w:t>Aggregate or general demographic employee data</w:t>
            </w:r>
          </w:p>
          <w:p w14:paraId="7754C0E8" w14:textId="77777777" w:rsidR="00CD79A8" w:rsidRDefault="00CD79A8" w:rsidP="00251086">
            <w:pPr>
              <w:pStyle w:val="ListParagraph"/>
              <w:numPr>
                <w:ilvl w:val="0"/>
                <w:numId w:val="33"/>
              </w:numPr>
              <w:jc w:val="both"/>
              <w:rPr>
                <w:rFonts w:cs="Arial"/>
                <w:lang w:eastAsia="zh-TW"/>
              </w:rPr>
            </w:pPr>
            <w:r>
              <w:rPr>
                <w:rFonts w:cs="Arial"/>
              </w:rPr>
              <w:t>specific wage/salary</w:t>
            </w:r>
          </w:p>
          <w:p w14:paraId="09796BD6" w14:textId="77777777" w:rsidR="00CD79A8" w:rsidRDefault="00CD79A8" w:rsidP="00251086">
            <w:pPr>
              <w:pStyle w:val="ListParagraph"/>
              <w:numPr>
                <w:ilvl w:val="0"/>
                <w:numId w:val="33"/>
              </w:numPr>
              <w:jc w:val="both"/>
              <w:rPr>
                <w:rFonts w:cs="Arial"/>
                <w:lang w:eastAsia="zh-TW"/>
              </w:rPr>
            </w:pPr>
            <w:r>
              <w:rPr>
                <w:rFonts w:cs="Arial"/>
              </w:rPr>
              <w:t>EEOC demographic data</w:t>
            </w:r>
          </w:p>
          <w:p w14:paraId="122AA56B" w14:textId="77777777" w:rsidR="00CD79A8" w:rsidRDefault="00CD79A8" w:rsidP="00251086">
            <w:pPr>
              <w:pStyle w:val="ListParagraph"/>
              <w:numPr>
                <w:ilvl w:val="0"/>
                <w:numId w:val="33"/>
              </w:numPr>
              <w:jc w:val="both"/>
              <w:rPr>
                <w:rFonts w:cs="Arial"/>
                <w:lang w:eastAsia="zh-TW"/>
              </w:rPr>
            </w:pPr>
            <w:r>
              <w:rPr>
                <w:rFonts w:cs="Arial"/>
              </w:rPr>
              <w:t>OFCCP demographic data</w:t>
            </w:r>
          </w:p>
          <w:p w14:paraId="0918C7F3" w14:textId="77777777" w:rsidR="00CD79A8" w:rsidRDefault="00CD79A8" w:rsidP="00251086">
            <w:pPr>
              <w:pStyle w:val="ListParagraph"/>
              <w:numPr>
                <w:ilvl w:val="0"/>
                <w:numId w:val="33"/>
              </w:numPr>
              <w:jc w:val="both"/>
              <w:rPr>
                <w:rFonts w:cs="Arial"/>
                <w:lang w:eastAsia="zh-TW"/>
              </w:rPr>
            </w:pPr>
            <w:r>
              <w:rPr>
                <w:rFonts w:cs="Arial"/>
              </w:rPr>
              <w:t>Candidate PII and background check information gathered during the application process</w:t>
            </w:r>
          </w:p>
          <w:p w14:paraId="16BB7319" w14:textId="77777777" w:rsidR="00CD79A8" w:rsidRDefault="00CD79A8" w:rsidP="00251086">
            <w:pPr>
              <w:pStyle w:val="ListParagraph"/>
              <w:numPr>
                <w:ilvl w:val="0"/>
                <w:numId w:val="33"/>
              </w:numPr>
              <w:jc w:val="both"/>
              <w:rPr>
                <w:rFonts w:cs="Arial"/>
                <w:lang w:eastAsia="zh-TW"/>
              </w:rPr>
            </w:pPr>
            <w:r>
              <w:rPr>
                <w:rFonts w:cs="Arial"/>
              </w:rPr>
              <w:t>Employee Stock Purchase Plan enrollment status</w:t>
            </w:r>
          </w:p>
          <w:p w14:paraId="303B33F0" w14:textId="77777777" w:rsidR="00CD79A8" w:rsidRDefault="00CD79A8" w:rsidP="00251086">
            <w:pPr>
              <w:pStyle w:val="ListParagraph"/>
              <w:numPr>
                <w:ilvl w:val="0"/>
                <w:numId w:val="33"/>
              </w:numPr>
              <w:jc w:val="both"/>
              <w:rPr>
                <w:rFonts w:cs="Arial"/>
                <w:lang w:eastAsia="zh-TW"/>
              </w:rPr>
            </w:pPr>
            <w:r>
              <w:rPr>
                <w:rFonts w:cs="Arial"/>
              </w:rPr>
              <w:t>Employee stock grants</w:t>
            </w:r>
          </w:p>
          <w:p w14:paraId="6A445E51" w14:textId="77777777" w:rsidR="00CD79A8" w:rsidRDefault="00CD79A8" w:rsidP="00251086">
            <w:pPr>
              <w:pStyle w:val="ListParagraph"/>
              <w:numPr>
                <w:ilvl w:val="0"/>
                <w:numId w:val="33"/>
              </w:numPr>
              <w:jc w:val="both"/>
              <w:rPr>
                <w:rFonts w:cs="Arial"/>
                <w:lang w:eastAsia="zh-TW"/>
              </w:rPr>
            </w:pPr>
            <w:r>
              <w:rPr>
                <w:rFonts w:cs="Arial"/>
              </w:rPr>
              <w:t>401K participation information (applicable in the US)</w:t>
            </w:r>
          </w:p>
          <w:p w14:paraId="5BE34B5A" w14:textId="77777777" w:rsidR="00CD79A8" w:rsidRDefault="00CD79A8" w:rsidP="00251086">
            <w:pPr>
              <w:pStyle w:val="ListParagraph"/>
              <w:numPr>
                <w:ilvl w:val="0"/>
                <w:numId w:val="33"/>
              </w:numPr>
              <w:jc w:val="both"/>
              <w:rPr>
                <w:rFonts w:cs="Arial"/>
                <w:lang w:eastAsia="zh-TW"/>
              </w:rPr>
            </w:pPr>
            <w:r>
              <w:rPr>
                <w:rFonts w:cs="Arial"/>
              </w:rPr>
              <w:t>Rehire eligibility</w:t>
            </w:r>
          </w:p>
          <w:p w14:paraId="39CE9430" w14:textId="77777777" w:rsidR="00CD79A8" w:rsidRDefault="00CD79A8" w:rsidP="00251086">
            <w:pPr>
              <w:pStyle w:val="ListParagraph"/>
              <w:numPr>
                <w:ilvl w:val="0"/>
                <w:numId w:val="33"/>
              </w:numPr>
              <w:jc w:val="both"/>
              <w:rPr>
                <w:rFonts w:cs="Arial"/>
                <w:lang w:eastAsia="zh-TW"/>
              </w:rPr>
            </w:pPr>
            <w:r>
              <w:rPr>
                <w:rFonts w:cs="Arial"/>
              </w:rPr>
              <w:t>Termination reason</w:t>
            </w:r>
          </w:p>
          <w:p w14:paraId="4517BCC5" w14:textId="77777777" w:rsidR="00CD79A8" w:rsidRDefault="00CD79A8" w:rsidP="00CD79A8">
            <w:pPr>
              <w:pStyle w:val="ListParagraph"/>
              <w:numPr>
                <w:ilvl w:val="0"/>
                <w:numId w:val="33"/>
              </w:numPr>
              <w:rPr>
                <w:rFonts w:cs="Arial"/>
                <w:lang w:eastAsia="zh-TW"/>
              </w:rPr>
            </w:pPr>
            <w:r>
              <w:rPr>
                <w:rFonts w:cs="Arial"/>
              </w:rPr>
              <w:t>Aggregate Benefit enrollment information</w:t>
            </w:r>
          </w:p>
        </w:tc>
      </w:tr>
      <w:tr w:rsidR="00CD79A8" w14:paraId="029B588F" w14:textId="77777777" w:rsidTr="00202FC5">
        <w:trPr>
          <w:trHeight w:val="5244"/>
        </w:trPr>
        <w:tc>
          <w:tcPr>
            <w:tcW w:w="2972" w:type="dxa"/>
            <w:tcBorders>
              <w:top w:val="nil"/>
              <w:left w:val="single" w:sz="4" w:space="0" w:color="auto"/>
              <w:bottom w:val="single" w:sz="4" w:space="0" w:color="auto"/>
              <w:right w:val="single" w:sz="4" w:space="0" w:color="auto"/>
            </w:tcBorders>
            <w:hideMark/>
          </w:tcPr>
          <w:p w14:paraId="4C968BA0" w14:textId="77777777" w:rsidR="00CD79A8" w:rsidRDefault="00CD79A8" w:rsidP="00612FEB">
            <w:pPr>
              <w:rPr>
                <w:rFonts w:eastAsia="Microsoft JhengHei" w:cs="Arial"/>
                <w:b/>
                <w:bCs/>
              </w:rPr>
            </w:pPr>
            <w:r>
              <w:rPr>
                <w:rFonts w:eastAsia="Microsoft JhengHei" w:cs="Arial"/>
                <w:b/>
                <w:bCs/>
              </w:rPr>
              <w:lastRenderedPageBreak/>
              <w:t>Operational Information requiring a high level of protection</w:t>
            </w:r>
          </w:p>
        </w:tc>
        <w:tc>
          <w:tcPr>
            <w:tcW w:w="6695" w:type="dxa"/>
            <w:tcBorders>
              <w:top w:val="nil"/>
              <w:left w:val="nil"/>
              <w:bottom w:val="single" w:sz="4" w:space="0" w:color="auto"/>
              <w:right w:val="single" w:sz="4" w:space="0" w:color="auto"/>
            </w:tcBorders>
            <w:vAlign w:val="center"/>
            <w:hideMark/>
          </w:tcPr>
          <w:p w14:paraId="46775DE7" w14:textId="77777777" w:rsidR="00CD79A8" w:rsidRDefault="00CD79A8" w:rsidP="00251086">
            <w:pPr>
              <w:pStyle w:val="ListParagraph"/>
              <w:numPr>
                <w:ilvl w:val="0"/>
                <w:numId w:val="34"/>
              </w:numPr>
              <w:autoSpaceDE w:val="0"/>
              <w:autoSpaceDN w:val="0"/>
              <w:spacing w:before="0"/>
              <w:ind w:hanging="357"/>
              <w:jc w:val="both"/>
              <w:rPr>
                <w:rFonts w:eastAsia="Microsoft JhengHei" w:cs="Arial"/>
                <w:lang w:eastAsia="zh-TW"/>
              </w:rPr>
            </w:pPr>
            <w:r>
              <w:rPr>
                <w:rFonts w:eastAsia="Microsoft JhengHei" w:cs="Arial"/>
              </w:rPr>
              <w:t>Computer systems and IT management information (to the extent it does not involve competitively sensitive materials which are classified as Restricted – e.g., pricing, network planning, selling strategies)</w:t>
            </w:r>
          </w:p>
          <w:p w14:paraId="6C5A4C85" w14:textId="77777777" w:rsidR="00CD79A8" w:rsidRDefault="00CD79A8" w:rsidP="00251086">
            <w:pPr>
              <w:pStyle w:val="ListParagraph"/>
              <w:numPr>
                <w:ilvl w:val="0"/>
                <w:numId w:val="34"/>
              </w:numPr>
              <w:autoSpaceDE w:val="0"/>
              <w:autoSpaceDN w:val="0"/>
              <w:spacing w:before="0"/>
              <w:ind w:hanging="357"/>
              <w:jc w:val="both"/>
              <w:rPr>
                <w:rFonts w:eastAsia="Microsoft JhengHei" w:cs="Arial"/>
                <w:lang w:eastAsia="zh-TW"/>
              </w:rPr>
            </w:pPr>
            <w:r>
              <w:rPr>
                <w:rFonts w:eastAsia="Microsoft JhengHei" w:cs="Arial"/>
              </w:rPr>
              <w:t>Description of regulatory compliance – means by which the FPT Software meets compliance obligations is proprietary, non-public information. It is in most cases legal advice for how FPT Software should comply and in some instances is elevated to restricted privileged information.</w:t>
            </w:r>
          </w:p>
          <w:p w14:paraId="5F366FD8" w14:textId="77777777" w:rsidR="00CD79A8" w:rsidRDefault="00CD79A8" w:rsidP="00251086">
            <w:pPr>
              <w:pStyle w:val="ListParagraph"/>
              <w:numPr>
                <w:ilvl w:val="0"/>
                <w:numId w:val="34"/>
              </w:numPr>
              <w:autoSpaceDE w:val="0"/>
              <w:autoSpaceDN w:val="0"/>
              <w:spacing w:before="0"/>
              <w:ind w:hanging="357"/>
              <w:jc w:val="both"/>
              <w:rPr>
                <w:rFonts w:eastAsia="Microsoft JhengHei" w:cs="Arial"/>
                <w:lang w:eastAsia="zh-TW"/>
              </w:rPr>
            </w:pPr>
            <w:r>
              <w:rPr>
                <w:rFonts w:eastAsia="Microsoft JhengHei" w:cs="Arial"/>
              </w:rPr>
              <w:t>Draft press releases and other draft unpublished public relations documents</w:t>
            </w:r>
          </w:p>
          <w:p w14:paraId="466D901A" w14:textId="77777777" w:rsidR="00CD79A8" w:rsidRDefault="00CD79A8" w:rsidP="00251086">
            <w:pPr>
              <w:pStyle w:val="ListParagraph"/>
              <w:numPr>
                <w:ilvl w:val="0"/>
                <w:numId w:val="34"/>
              </w:numPr>
              <w:autoSpaceDE w:val="0"/>
              <w:autoSpaceDN w:val="0"/>
              <w:spacing w:before="0"/>
              <w:ind w:hanging="357"/>
              <w:jc w:val="both"/>
              <w:rPr>
                <w:rFonts w:eastAsia="Microsoft JhengHei" w:cs="Arial"/>
                <w:lang w:eastAsia="zh-TW"/>
              </w:rPr>
            </w:pPr>
            <w:r>
              <w:rPr>
                <w:rFonts w:eastAsia="Microsoft JhengHei" w:cs="Arial"/>
              </w:rPr>
              <w:t>Configuration information for 911 systems</w:t>
            </w:r>
          </w:p>
          <w:p w14:paraId="743E1F17" w14:textId="77777777" w:rsidR="00CD79A8" w:rsidRDefault="00CD79A8" w:rsidP="00251086">
            <w:pPr>
              <w:pStyle w:val="ListParagraph"/>
              <w:numPr>
                <w:ilvl w:val="0"/>
                <w:numId w:val="34"/>
              </w:numPr>
              <w:autoSpaceDE w:val="0"/>
              <w:autoSpaceDN w:val="0"/>
              <w:spacing w:before="0"/>
              <w:ind w:hanging="357"/>
              <w:jc w:val="both"/>
              <w:rPr>
                <w:rFonts w:eastAsia="Microsoft JhengHei" w:cs="Arial"/>
                <w:lang w:eastAsia="zh-TW"/>
              </w:rPr>
            </w:pPr>
            <w:r>
              <w:rPr>
                <w:rFonts w:eastAsia="Microsoft JhengHei" w:cs="Arial"/>
              </w:rPr>
              <w:t>Disaster recovery plans</w:t>
            </w:r>
          </w:p>
          <w:p w14:paraId="0E3BB9E8" w14:textId="77777777" w:rsidR="00CD79A8" w:rsidRDefault="00CD79A8" w:rsidP="00251086">
            <w:pPr>
              <w:pStyle w:val="ListParagraph"/>
              <w:numPr>
                <w:ilvl w:val="0"/>
                <w:numId w:val="34"/>
              </w:numPr>
              <w:autoSpaceDE w:val="0"/>
              <w:autoSpaceDN w:val="0"/>
              <w:spacing w:before="0"/>
              <w:ind w:hanging="357"/>
              <w:jc w:val="both"/>
              <w:rPr>
                <w:rFonts w:eastAsia="Microsoft JhengHei" w:cs="Arial"/>
                <w:lang w:eastAsia="zh-TW"/>
              </w:rPr>
            </w:pPr>
            <w:r>
              <w:rPr>
                <w:rFonts w:eastAsia="Microsoft JhengHei" w:cs="Arial"/>
              </w:rPr>
              <w:t>IT Technical and Operational Information</w:t>
            </w:r>
          </w:p>
          <w:p w14:paraId="2457B932" w14:textId="77777777" w:rsidR="00CD79A8" w:rsidRDefault="00CD79A8" w:rsidP="00251086">
            <w:pPr>
              <w:pStyle w:val="ListParagraph"/>
              <w:numPr>
                <w:ilvl w:val="1"/>
                <w:numId w:val="34"/>
              </w:numPr>
              <w:autoSpaceDE w:val="0"/>
              <w:autoSpaceDN w:val="0"/>
              <w:spacing w:before="0"/>
              <w:ind w:hanging="357"/>
              <w:jc w:val="both"/>
              <w:rPr>
                <w:rFonts w:eastAsia="Microsoft JhengHei" w:cs="Arial"/>
                <w:lang w:eastAsia="zh-TW"/>
              </w:rPr>
            </w:pPr>
            <w:r>
              <w:rPr>
                <w:rFonts w:eastAsia="Microsoft JhengHei" w:cs="Arial"/>
              </w:rPr>
              <w:t>Device and system configuration information</w:t>
            </w:r>
          </w:p>
          <w:p w14:paraId="54688AAE" w14:textId="77777777" w:rsidR="00CD79A8" w:rsidRDefault="00CD79A8" w:rsidP="00251086">
            <w:pPr>
              <w:pStyle w:val="ListParagraph"/>
              <w:numPr>
                <w:ilvl w:val="1"/>
                <w:numId w:val="34"/>
              </w:numPr>
              <w:autoSpaceDE w:val="0"/>
              <w:autoSpaceDN w:val="0"/>
              <w:spacing w:before="0"/>
              <w:ind w:hanging="357"/>
              <w:jc w:val="both"/>
              <w:rPr>
                <w:rFonts w:eastAsia="Microsoft JhengHei" w:cs="Arial"/>
                <w:lang w:eastAsia="zh-TW"/>
              </w:rPr>
            </w:pPr>
            <w:r>
              <w:rPr>
                <w:rFonts w:eastAsia="Microsoft JhengHei" w:cs="Arial"/>
              </w:rPr>
              <w:t>Reference design – HLSD (High level solution design) documentation</w:t>
            </w:r>
          </w:p>
          <w:p w14:paraId="499D150B" w14:textId="77777777" w:rsidR="00CD79A8" w:rsidRDefault="00CD79A8" w:rsidP="00251086">
            <w:pPr>
              <w:pStyle w:val="ListParagraph"/>
              <w:numPr>
                <w:ilvl w:val="1"/>
                <w:numId w:val="34"/>
              </w:numPr>
              <w:autoSpaceDE w:val="0"/>
              <w:autoSpaceDN w:val="0"/>
              <w:spacing w:before="0"/>
              <w:ind w:hanging="357"/>
              <w:jc w:val="both"/>
              <w:rPr>
                <w:rFonts w:eastAsia="Microsoft JhengHei" w:cs="Arial"/>
                <w:lang w:eastAsia="zh-TW"/>
              </w:rPr>
            </w:pPr>
            <w:r>
              <w:rPr>
                <w:rFonts w:eastAsia="Microsoft JhengHei" w:cs="Arial"/>
              </w:rPr>
              <w:t>High level architecture diagrams with no detail about systems, ports, services and protocol addressing schemes</w:t>
            </w:r>
          </w:p>
          <w:p w14:paraId="2A3D2D0D" w14:textId="77777777" w:rsidR="00CD79A8" w:rsidRDefault="00CD79A8" w:rsidP="00251086">
            <w:pPr>
              <w:pStyle w:val="ListParagraph"/>
              <w:numPr>
                <w:ilvl w:val="0"/>
                <w:numId w:val="34"/>
              </w:numPr>
              <w:autoSpaceDE w:val="0"/>
              <w:autoSpaceDN w:val="0"/>
              <w:spacing w:before="0"/>
              <w:ind w:hanging="357"/>
              <w:jc w:val="both"/>
              <w:rPr>
                <w:rFonts w:eastAsia="Microsoft JhengHei" w:cs="Arial"/>
                <w:lang w:eastAsia="zh-TW"/>
              </w:rPr>
            </w:pPr>
            <w:r>
              <w:rPr>
                <w:rFonts w:eastAsia="Microsoft JhengHei" w:cs="Arial"/>
              </w:rPr>
              <w:t>De-identified information that cannot be used to personally identify an individual</w:t>
            </w:r>
          </w:p>
          <w:p w14:paraId="07F60E56" w14:textId="77777777" w:rsidR="00CD79A8" w:rsidRDefault="00CD79A8" w:rsidP="00251086">
            <w:pPr>
              <w:pStyle w:val="ListParagraph"/>
              <w:numPr>
                <w:ilvl w:val="1"/>
                <w:numId w:val="34"/>
              </w:numPr>
              <w:autoSpaceDE w:val="0"/>
              <w:autoSpaceDN w:val="0"/>
              <w:spacing w:before="0"/>
              <w:ind w:hanging="357"/>
              <w:jc w:val="both"/>
              <w:rPr>
                <w:rFonts w:eastAsia="Microsoft JhengHei" w:cs="Arial"/>
                <w:lang w:eastAsia="zh-TW"/>
              </w:rPr>
            </w:pPr>
            <w:r>
              <w:rPr>
                <w:rFonts w:eastAsia="Microsoft JhengHei" w:cs="Arial"/>
              </w:rPr>
              <w:t>Demographic data purchased from third parties</w:t>
            </w:r>
          </w:p>
          <w:p w14:paraId="0590BF14" w14:textId="77777777" w:rsidR="00CD79A8" w:rsidRDefault="00CD79A8" w:rsidP="00251086">
            <w:pPr>
              <w:pStyle w:val="ListParagraph"/>
              <w:numPr>
                <w:ilvl w:val="1"/>
                <w:numId w:val="34"/>
              </w:numPr>
              <w:autoSpaceDE w:val="0"/>
              <w:autoSpaceDN w:val="0"/>
              <w:spacing w:before="0"/>
              <w:ind w:hanging="357"/>
              <w:jc w:val="both"/>
              <w:rPr>
                <w:rFonts w:eastAsia="Microsoft JhengHei" w:cs="Arial"/>
                <w:lang w:eastAsia="zh-TW"/>
              </w:rPr>
            </w:pPr>
            <w:r>
              <w:rPr>
                <w:rFonts w:eastAsia="Microsoft JhengHei" w:cs="Arial"/>
              </w:rPr>
              <w:t>Aggregate information shared with third parties</w:t>
            </w:r>
          </w:p>
          <w:p w14:paraId="1CFF20D5" w14:textId="77777777" w:rsidR="00CD79A8" w:rsidRDefault="00CD79A8" w:rsidP="00251086">
            <w:pPr>
              <w:pStyle w:val="ListParagraph"/>
              <w:numPr>
                <w:ilvl w:val="0"/>
                <w:numId w:val="34"/>
              </w:numPr>
              <w:autoSpaceDE w:val="0"/>
              <w:autoSpaceDN w:val="0"/>
              <w:spacing w:before="0"/>
              <w:ind w:hanging="357"/>
              <w:jc w:val="both"/>
              <w:rPr>
                <w:rFonts w:eastAsia="Microsoft JhengHei" w:cs="Arial"/>
              </w:rPr>
            </w:pPr>
            <w:r>
              <w:rPr>
                <w:rFonts w:eastAsia="Microsoft JhengHei" w:cs="Arial"/>
              </w:rPr>
              <w:t>Aggregate information used during business processes that may have competitive intelligence value (e.g. customer Employer Identification Numbers [EIN] in aggregate)</w:t>
            </w:r>
          </w:p>
        </w:tc>
      </w:tr>
      <w:tr w:rsidR="00CD79A8" w14:paraId="21995992" w14:textId="77777777" w:rsidTr="00202FC5">
        <w:trPr>
          <w:trHeight w:val="1656"/>
        </w:trPr>
        <w:tc>
          <w:tcPr>
            <w:tcW w:w="2972" w:type="dxa"/>
            <w:tcBorders>
              <w:top w:val="nil"/>
              <w:left w:val="single" w:sz="4" w:space="0" w:color="auto"/>
              <w:bottom w:val="single" w:sz="4" w:space="0" w:color="auto"/>
              <w:right w:val="single" w:sz="4" w:space="0" w:color="auto"/>
            </w:tcBorders>
            <w:hideMark/>
          </w:tcPr>
          <w:p w14:paraId="78B35A0D" w14:textId="77777777" w:rsidR="00CD79A8" w:rsidRDefault="00CD79A8" w:rsidP="00612FEB">
            <w:pPr>
              <w:rPr>
                <w:rFonts w:eastAsia="Microsoft JhengHei" w:cs="Arial"/>
                <w:b/>
                <w:bCs/>
              </w:rPr>
            </w:pPr>
            <w:r>
              <w:rPr>
                <w:rFonts w:eastAsia="Microsoft JhengHei" w:cs="Arial"/>
                <w:b/>
                <w:bCs/>
              </w:rPr>
              <w:t>Information on internal COMPANY sites</w:t>
            </w:r>
          </w:p>
        </w:tc>
        <w:tc>
          <w:tcPr>
            <w:tcW w:w="6695" w:type="dxa"/>
            <w:tcBorders>
              <w:top w:val="nil"/>
              <w:left w:val="nil"/>
              <w:bottom w:val="single" w:sz="4" w:space="0" w:color="auto"/>
              <w:right w:val="single" w:sz="4" w:space="0" w:color="auto"/>
            </w:tcBorders>
            <w:vAlign w:val="center"/>
            <w:hideMark/>
          </w:tcPr>
          <w:p w14:paraId="139296FE" w14:textId="77777777" w:rsidR="00CD79A8" w:rsidRDefault="00CD79A8" w:rsidP="00251086">
            <w:pPr>
              <w:pStyle w:val="ListParagraph"/>
              <w:numPr>
                <w:ilvl w:val="0"/>
                <w:numId w:val="35"/>
              </w:numPr>
              <w:jc w:val="both"/>
              <w:rPr>
                <w:rFonts w:cs="Arial"/>
                <w:lang w:eastAsia="zh-TW"/>
              </w:rPr>
            </w:pPr>
            <w:r>
              <w:rPr>
                <w:rFonts w:cs="Arial"/>
              </w:rPr>
              <w:t>Contact information in Outlook (Global Address Book), Skype for Business, or Teams</w:t>
            </w:r>
          </w:p>
          <w:p w14:paraId="79B741E5" w14:textId="77777777" w:rsidR="00CD79A8" w:rsidRDefault="00CD79A8" w:rsidP="00251086">
            <w:pPr>
              <w:pStyle w:val="ListParagraph"/>
              <w:numPr>
                <w:ilvl w:val="0"/>
                <w:numId w:val="35"/>
              </w:numPr>
              <w:jc w:val="both"/>
              <w:rPr>
                <w:rFonts w:cs="Arial"/>
                <w:lang w:eastAsia="zh-TW"/>
              </w:rPr>
            </w:pPr>
            <w:r>
              <w:rPr>
                <w:rFonts w:cs="Arial"/>
              </w:rPr>
              <w:t>General information published on enterprise portals or intranets.</w:t>
            </w:r>
          </w:p>
          <w:p w14:paraId="0667F42B" w14:textId="77777777" w:rsidR="00CD79A8" w:rsidRDefault="00CD79A8" w:rsidP="00251086">
            <w:pPr>
              <w:pStyle w:val="ListParagraph"/>
              <w:numPr>
                <w:ilvl w:val="0"/>
                <w:numId w:val="35"/>
              </w:numPr>
              <w:jc w:val="both"/>
              <w:rPr>
                <w:rFonts w:cs="Arial"/>
                <w:lang w:eastAsia="zh-TW"/>
              </w:rPr>
            </w:pPr>
            <w:r>
              <w:rPr>
                <w:rFonts w:cs="Arial"/>
              </w:rPr>
              <w:t>Training that is approved and labeled for “Internal” use</w:t>
            </w:r>
          </w:p>
          <w:p w14:paraId="5D0EC067" w14:textId="77777777" w:rsidR="00CD79A8" w:rsidRDefault="00CD79A8" w:rsidP="00251086">
            <w:pPr>
              <w:pStyle w:val="ListParagraph"/>
              <w:numPr>
                <w:ilvl w:val="0"/>
                <w:numId w:val="35"/>
              </w:numPr>
              <w:jc w:val="both"/>
              <w:rPr>
                <w:rFonts w:cs="Arial"/>
                <w:lang w:eastAsia="zh-TW"/>
              </w:rPr>
            </w:pPr>
            <w:r>
              <w:rPr>
                <w:rFonts w:cs="Arial"/>
              </w:rPr>
              <w:t>Detailed non-public job descriptions</w:t>
            </w:r>
          </w:p>
          <w:p w14:paraId="19F824C2" w14:textId="77777777" w:rsidR="00CD79A8" w:rsidRDefault="00CD79A8" w:rsidP="00251086">
            <w:pPr>
              <w:pStyle w:val="ListParagraph"/>
              <w:numPr>
                <w:ilvl w:val="0"/>
                <w:numId w:val="35"/>
              </w:numPr>
              <w:jc w:val="both"/>
              <w:rPr>
                <w:rFonts w:cs="Arial"/>
                <w:lang w:eastAsia="zh-TW"/>
              </w:rPr>
            </w:pPr>
            <w:r>
              <w:rPr>
                <w:rFonts w:cs="Arial"/>
              </w:rPr>
              <w:t>Bonus plan</w:t>
            </w:r>
          </w:p>
          <w:p w14:paraId="5FA6EB2F" w14:textId="77777777" w:rsidR="00CD79A8" w:rsidRDefault="00CD79A8" w:rsidP="00251086">
            <w:pPr>
              <w:pStyle w:val="ListParagraph"/>
              <w:numPr>
                <w:ilvl w:val="0"/>
                <w:numId w:val="35"/>
              </w:numPr>
              <w:jc w:val="both"/>
              <w:rPr>
                <w:rFonts w:cs="Arial"/>
              </w:rPr>
            </w:pPr>
            <w:r>
              <w:rPr>
                <w:rFonts w:cs="Arial"/>
              </w:rPr>
              <w:t>Organizational charts</w:t>
            </w:r>
          </w:p>
        </w:tc>
      </w:tr>
      <w:tr w:rsidR="00CD79A8" w14:paraId="2DF7B6BD" w14:textId="77777777" w:rsidTr="00202FC5">
        <w:trPr>
          <w:trHeight w:val="839"/>
        </w:trPr>
        <w:tc>
          <w:tcPr>
            <w:tcW w:w="2972" w:type="dxa"/>
            <w:tcBorders>
              <w:top w:val="nil"/>
              <w:left w:val="single" w:sz="4" w:space="0" w:color="auto"/>
              <w:bottom w:val="single" w:sz="4" w:space="0" w:color="auto"/>
              <w:right w:val="single" w:sz="4" w:space="0" w:color="auto"/>
            </w:tcBorders>
            <w:hideMark/>
          </w:tcPr>
          <w:p w14:paraId="130DF44F" w14:textId="77777777" w:rsidR="00CD79A8" w:rsidRDefault="00CD79A8" w:rsidP="00612FEB">
            <w:pPr>
              <w:rPr>
                <w:rFonts w:eastAsia="Microsoft JhengHei" w:cs="Arial"/>
                <w:b/>
                <w:bCs/>
              </w:rPr>
            </w:pPr>
            <w:r>
              <w:rPr>
                <w:rFonts w:eastAsia="Microsoft JhengHei" w:cs="Arial"/>
                <w:b/>
                <w:bCs/>
              </w:rPr>
              <w:t>Operational Information requiring adequate or moderate level of protection</w:t>
            </w:r>
          </w:p>
        </w:tc>
        <w:tc>
          <w:tcPr>
            <w:tcW w:w="6695" w:type="dxa"/>
            <w:tcBorders>
              <w:top w:val="nil"/>
              <w:left w:val="nil"/>
              <w:bottom w:val="single" w:sz="4" w:space="0" w:color="auto"/>
              <w:right w:val="single" w:sz="4" w:space="0" w:color="auto"/>
            </w:tcBorders>
            <w:vAlign w:val="center"/>
            <w:hideMark/>
          </w:tcPr>
          <w:p w14:paraId="19622C01" w14:textId="77777777" w:rsidR="00CD79A8" w:rsidRDefault="00CD79A8" w:rsidP="00251086">
            <w:pPr>
              <w:pStyle w:val="ListParagraph"/>
              <w:numPr>
                <w:ilvl w:val="0"/>
                <w:numId w:val="36"/>
              </w:numPr>
              <w:jc w:val="both"/>
              <w:rPr>
                <w:rFonts w:cs="Arial"/>
                <w:lang w:eastAsia="zh-TW"/>
              </w:rPr>
            </w:pPr>
            <w:r>
              <w:rPr>
                <w:rFonts w:cs="Arial"/>
              </w:rPr>
              <w:t>Physical descriptions of existing offices and facilities not currently available to general public</w:t>
            </w:r>
          </w:p>
          <w:p w14:paraId="663EE9C5" w14:textId="77777777" w:rsidR="00CD79A8" w:rsidRDefault="00CD79A8" w:rsidP="00251086">
            <w:pPr>
              <w:pStyle w:val="ListParagraph"/>
              <w:numPr>
                <w:ilvl w:val="0"/>
                <w:numId w:val="36"/>
              </w:numPr>
              <w:jc w:val="both"/>
              <w:rPr>
                <w:rFonts w:cs="Arial"/>
                <w:lang w:eastAsia="zh-TW"/>
              </w:rPr>
            </w:pPr>
            <w:r>
              <w:rPr>
                <w:rFonts w:cs="Arial"/>
              </w:rPr>
              <w:t>Internal posters, flyers and training materials</w:t>
            </w:r>
          </w:p>
          <w:p w14:paraId="169B0861" w14:textId="77777777" w:rsidR="00CD79A8" w:rsidRDefault="00CD79A8" w:rsidP="00251086">
            <w:pPr>
              <w:pStyle w:val="ListParagraph"/>
              <w:numPr>
                <w:ilvl w:val="0"/>
                <w:numId w:val="36"/>
              </w:numPr>
              <w:jc w:val="both"/>
              <w:rPr>
                <w:rFonts w:cs="Arial"/>
                <w:lang w:eastAsia="zh-TW"/>
              </w:rPr>
            </w:pPr>
            <w:r>
              <w:rPr>
                <w:rFonts w:cs="Arial"/>
              </w:rPr>
              <w:t>Policy documents as applicable</w:t>
            </w:r>
          </w:p>
          <w:p w14:paraId="549D3499" w14:textId="77777777" w:rsidR="00CD79A8" w:rsidRDefault="00CD79A8" w:rsidP="00251086">
            <w:pPr>
              <w:pStyle w:val="ListParagraph"/>
              <w:numPr>
                <w:ilvl w:val="0"/>
                <w:numId w:val="36"/>
              </w:numPr>
              <w:jc w:val="both"/>
              <w:rPr>
                <w:rFonts w:cs="Arial"/>
              </w:rPr>
            </w:pPr>
            <w:r>
              <w:rPr>
                <w:rFonts w:cs="Arial"/>
              </w:rPr>
              <w:t>Other operational information for business purposes that does not fall in the categories of Confidential or Restricted</w:t>
            </w:r>
          </w:p>
        </w:tc>
      </w:tr>
      <w:tr w:rsidR="00CD79A8" w14:paraId="5A18AF24" w14:textId="77777777" w:rsidTr="00202FC5">
        <w:trPr>
          <w:trHeight w:val="552"/>
        </w:trPr>
        <w:tc>
          <w:tcPr>
            <w:tcW w:w="2972" w:type="dxa"/>
            <w:tcBorders>
              <w:top w:val="nil"/>
              <w:left w:val="single" w:sz="4" w:space="0" w:color="auto"/>
              <w:bottom w:val="single" w:sz="4" w:space="0" w:color="auto"/>
              <w:right w:val="single" w:sz="4" w:space="0" w:color="auto"/>
            </w:tcBorders>
            <w:hideMark/>
          </w:tcPr>
          <w:p w14:paraId="40B17E4A" w14:textId="77777777" w:rsidR="00CD79A8" w:rsidRDefault="00CD79A8" w:rsidP="003D0464">
            <w:pPr>
              <w:rPr>
                <w:rFonts w:cs="Arial"/>
              </w:rPr>
            </w:pPr>
            <w:r>
              <w:rPr>
                <w:rFonts w:cs="Arial"/>
              </w:rPr>
              <w:lastRenderedPageBreak/>
              <w:t>Customers’ publicly available information</w:t>
            </w:r>
          </w:p>
        </w:tc>
        <w:tc>
          <w:tcPr>
            <w:tcW w:w="6695" w:type="dxa"/>
            <w:tcBorders>
              <w:top w:val="nil"/>
              <w:left w:val="nil"/>
              <w:bottom w:val="single" w:sz="4" w:space="0" w:color="auto"/>
              <w:right w:val="single" w:sz="4" w:space="0" w:color="auto"/>
            </w:tcBorders>
            <w:hideMark/>
          </w:tcPr>
          <w:p w14:paraId="7446C5A1" w14:textId="77777777" w:rsidR="00CD79A8" w:rsidRDefault="00CD79A8" w:rsidP="003D0464">
            <w:pPr>
              <w:jc w:val="both"/>
              <w:rPr>
                <w:rFonts w:cs="Arial"/>
              </w:rPr>
            </w:pPr>
            <w:r>
              <w:rPr>
                <w:rFonts w:cs="Arial"/>
              </w:rPr>
              <w:t>Information that the customers themselves make public such as inputs on online forums and publicly viewable by others</w:t>
            </w:r>
          </w:p>
        </w:tc>
      </w:tr>
      <w:tr w:rsidR="00CD79A8" w14:paraId="2281BF0F" w14:textId="77777777" w:rsidTr="00202FC5">
        <w:trPr>
          <w:trHeight w:val="828"/>
        </w:trPr>
        <w:tc>
          <w:tcPr>
            <w:tcW w:w="2972" w:type="dxa"/>
            <w:tcBorders>
              <w:top w:val="nil"/>
              <w:left w:val="single" w:sz="4" w:space="0" w:color="auto"/>
              <w:bottom w:val="single" w:sz="4" w:space="0" w:color="auto"/>
              <w:right w:val="single" w:sz="4" w:space="0" w:color="auto"/>
            </w:tcBorders>
            <w:hideMark/>
          </w:tcPr>
          <w:p w14:paraId="0003E973" w14:textId="77777777" w:rsidR="00CD79A8" w:rsidRDefault="00CD79A8" w:rsidP="003D0464">
            <w:pPr>
              <w:rPr>
                <w:rFonts w:cs="Arial"/>
              </w:rPr>
            </w:pPr>
            <w:r>
              <w:rPr>
                <w:rFonts w:cs="Arial"/>
              </w:rPr>
              <w:t>Information that HR has approved and officially released to the public</w:t>
            </w:r>
          </w:p>
        </w:tc>
        <w:tc>
          <w:tcPr>
            <w:tcW w:w="6695" w:type="dxa"/>
            <w:tcBorders>
              <w:top w:val="nil"/>
              <w:left w:val="nil"/>
              <w:bottom w:val="single" w:sz="4" w:space="0" w:color="auto"/>
              <w:right w:val="single" w:sz="4" w:space="0" w:color="auto"/>
            </w:tcBorders>
            <w:hideMark/>
          </w:tcPr>
          <w:p w14:paraId="311F8D70" w14:textId="77777777" w:rsidR="00CD79A8" w:rsidRDefault="00CD79A8" w:rsidP="003D0464">
            <w:pPr>
              <w:jc w:val="both"/>
              <w:rPr>
                <w:rFonts w:cs="Arial"/>
                <w:color w:val="000000"/>
              </w:rPr>
            </w:pPr>
            <w:r>
              <w:rPr>
                <w:rFonts w:cs="Arial"/>
                <w:color w:val="000000"/>
              </w:rPr>
              <w:t>Percent of employees participating in Red Cross blood drive programs</w:t>
            </w:r>
            <w:r>
              <w:rPr>
                <w:rFonts w:cs="Arial"/>
                <w:color w:val="000000"/>
              </w:rPr>
              <w:br/>
              <w:t xml:space="preserve">Press releases about employee participation in volunteer job postings </w:t>
            </w:r>
            <w:r>
              <w:rPr>
                <w:rFonts w:cs="Arial"/>
              </w:rPr>
              <w:t>publicly</w:t>
            </w:r>
            <w:r>
              <w:rPr>
                <w:rFonts w:cs="Arial"/>
                <w:color w:val="000000"/>
              </w:rPr>
              <w:t xml:space="preserve"> available</w:t>
            </w:r>
          </w:p>
        </w:tc>
      </w:tr>
      <w:tr w:rsidR="00CD79A8" w14:paraId="4EF540FA" w14:textId="77777777" w:rsidTr="00202FC5">
        <w:trPr>
          <w:trHeight w:val="828"/>
        </w:trPr>
        <w:tc>
          <w:tcPr>
            <w:tcW w:w="2972" w:type="dxa"/>
            <w:tcBorders>
              <w:top w:val="nil"/>
              <w:left w:val="single" w:sz="4" w:space="0" w:color="auto"/>
              <w:bottom w:val="single" w:sz="4" w:space="0" w:color="auto"/>
              <w:right w:val="single" w:sz="4" w:space="0" w:color="auto"/>
            </w:tcBorders>
            <w:hideMark/>
          </w:tcPr>
          <w:p w14:paraId="668B5AAE" w14:textId="77777777" w:rsidR="00CD79A8" w:rsidRDefault="00CD79A8" w:rsidP="003D0464">
            <w:pPr>
              <w:rPr>
                <w:rFonts w:cs="Arial"/>
              </w:rPr>
            </w:pPr>
            <w:r>
              <w:rPr>
                <w:rFonts w:cs="Arial"/>
              </w:rPr>
              <w:t>Information that has been explicitly approved by the appropriate department (e.g. Media Relations, Government Affairs, and Corporate Communications, Investor relations) as suitable for public view and use</w:t>
            </w:r>
          </w:p>
        </w:tc>
        <w:tc>
          <w:tcPr>
            <w:tcW w:w="6695" w:type="dxa"/>
            <w:tcBorders>
              <w:top w:val="nil"/>
              <w:left w:val="nil"/>
              <w:bottom w:val="single" w:sz="4" w:space="0" w:color="auto"/>
              <w:right w:val="single" w:sz="4" w:space="0" w:color="auto"/>
            </w:tcBorders>
            <w:hideMark/>
          </w:tcPr>
          <w:p w14:paraId="0B22BE90" w14:textId="77777777" w:rsidR="00CD79A8" w:rsidRDefault="00CD79A8" w:rsidP="003D0464">
            <w:pPr>
              <w:jc w:val="both"/>
              <w:rPr>
                <w:rFonts w:cs="Arial"/>
              </w:rPr>
            </w:pPr>
            <w:r>
              <w:rPr>
                <w:rFonts w:cs="Arial"/>
              </w:rPr>
              <w:t>Press releases, marketing brochures, coverage maps, and public information on the FPT Software websites</w:t>
            </w:r>
          </w:p>
        </w:tc>
      </w:tr>
    </w:tbl>
    <w:p w14:paraId="418A072C" w14:textId="77777777" w:rsidR="00CD79A8" w:rsidRPr="00202FC5" w:rsidRDefault="00CD79A8" w:rsidP="00CD79A8">
      <w:pPr>
        <w:pStyle w:val="Heading2"/>
        <w:numPr>
          <w:ilvl w:val="1"/>
          <w:numId w:val="24"/>
        </w:numPr>
        <w:rPr>
          <w:rFonts w:cs="Arial"/>
          <w:szCs w:val="22"/>
        </w:rPr>
      </w:pPr>
      <w:bookmarkStart w:id="22" w:name="_Toc72762026"/>
      <w:bookmarkStart w:id="23" w:name="_Toc117593901"/>
      <w:r w:rsidRPr="00202FC5">
        <w:rPr>
          <w:rFonts w:cs="Arial"/>
          <w:szCs w:val="22"/>
        </w:rPr>
        <w:t>Information Degrade</w:t>
      </w:r>
      <w:bookmarkEnd w:id="22"/>
      <w:bookmarkEnd w:id="23"/>
    </w:p>
    <w:p w14:paraId="6741FDDF" w14:textId="5E39C1E9" w:rsidR="00CD79A8" w:rsidRDefault="00CD79A8" w:rsidP="000A77A8">
      <w:pPr>
        <w:jc w:val="both"/>
        <w:rPr>
          <w:rFonts w:cs="Arial"/>
        </w:rPr>
      </w:pPr>
      <w:r w:rsidRPr="00202FC5">
        <w:rPr>
          <w:rFonts w:cs="Arial"/>
        </w:rPr>
        <w:t xml:space="preserve">Information during its lifecycle may need to be degraded based on the timeframe, </w:t>
      </w:r>
      <w:r w:rsidR="0034528C" w:rsidRPr="00202FC5">
        <w:rPr>
          <w:rFonts w:cs="Arial"/>
        </w:rPr>
        <w:t>audience,</w:t>
      </w:r>
      <w:r w:rsidRPr="00202FC5">
        <w:rPr>
          <w:rFonts w:cs="Arial"/>
        </w:rPr>
        <w:t xml:space="preserve"> and other requirements. These requirements will be set by the Information Owner and communicated to those with a need-to-know</w:t>
      </w:r>
      <w:r>
        <w:rPr>
          <w:rFonts w:cs="Arial"/>
        </w:rPr>
        <w:t>.</w:t>
      </w:r>
    </w:p>
    <w:p w14:paraId="69B53A83" w14:textId="77777777" w:rsidR="00CD79A8" w:rsidRPr="00202FC5" w:rsidRDefault="00CD79A8" w:rsidP="00CD79A8">
      <w:pPr>
        <w:pStyle w:val="Heading1"/>
        <w:numPr>
          <w:ilvl w:val="0"/>
          <w:numId w:val="24"/>
        </w:numPr>
        <w:rPr>
          <w:rFonts w:cs="Arial"/>
          <w:szCs w:val="24"/>
        </w:rPr>
      </w:pPr>
      <w:bookmarkStart w:id="24" w:name="_Toc72762027"/>
      <w:bookmarkStart w:id="25" w:name="_Toc117593902"/>
      <w:r w:rsidRPr="00202FC5">
        <w:rPr>
          <w:rFonts w:cs="Arial"/>
          <w:szCs w:val="24"/>
        </w:rPr>
        <w:lastRenderedPageBreak/>
        <w:t>APPENDIXES</w:t>
      </w:r>
      <w:bookmarkEnd w:id="24"/>
      <w:bookmarkEnd w:id="25"/>
    </w:p>
    <w:p w14:paraId="6892A002" w14:textId="77777777" w:rsidR="00CD79A8" w:rsidRPr="00202FC5" w:rsidRDefault="00CD79A8" w:rsidP="00CD79A8">
      <w:pPr>
        <w:pStyle w:val="Heading2"/>
        <w:numPr>
          <w:ilvl w:val="1"/>
          <w:numId w:val="24"/>
        </w:numPr>
        <w:rPr>
          <w:rFonts w:cs="Arial"/>
          <w:szCs w:val="22"/>
        </w:rPr>
      </w:pPr>
      <w:bookmarkStart w:id="26" w:name="_Toc72762028"/>
      <w:bookmarkStart w:id="27" w:name="_Toc262131038"/>
      <w:bookmarkStart w:id="28" w:name="_Toc117593903"/>
      <w:r w:rsidRPr="00202FC5">
        <w:rPr>
          <w:rFonts w:cs="Arial"/>
          <w:szCs w:val="22"/>
        </w:rPr>
        <w:t>Definition</w:t>
      </w:r>
      <w:bookmarkEnd w:id="26"/>
      <w:bookmarkEnd w:id="27"/>
      <w:bookmarkEnd w:id="28"/>
    </w:p>
    <w:tbl>
      <w:tblPr>
        <w:tblW w:w="9072" w:type="dxa"/>
        <w:tblInd w:w="108"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4A0" w:firstRow="1" w:lastRow="0" w:firstColumn="1" w:lastColumn="0" w:noHBand="0" w:noVBand="1"/>
      </w:tblPr>
      <w:tblGrid>
        <w:gridCol w:w="2016"/>
        <w:gridCol w:w="7056"/>
      </w:tblGrid>
      <w:tr w:rsidR="00CD79A8" w:rsidRPr="00202FC5" w14:paraId="4B1FA109" w14:textId="77777777" w:rsidTr="00202FC5">
        <w:trPr>
          <w:tblHeader/>
        </w:trPr>
        <w:tc>
          <w:tcPr>
            <w:tcW w:w="2016" w:type="dxa"/>
            <w:tcBorders>
              <w:top w:val="dotted" w:sz="2" w:space="0" w:color="808080"/>
              <w:left w:val="dotted" w:sz="2" w:space="0" w:color="808080"/>
              <w:bottom w:val="dotted" w:sz="2" w:space="0" w:color="808080"/>
              <w:right w:val="dotted" w:sz="2" w:space="0" w:color="808080"/>
            </w:tcBorders>
            <w:shd w:val="clear" w:color="auto" w:fill="D9D9D9"/>
            <w:vAlign w:val="center"/>
            <w:hideMark/>
          </w:tcPr>
          <w:p w14:paraId="5C11668F" w14:textId="77777777" w:rsidR="00CD79A8" w:rsidRPr="00202FC5" w:rsidRDefault="00CD79A8">
            <w:pPr>
              <w:rPr>
                <w:rFonts w:cs="Arial"/>
                <w:b/>
              </w:rPr>
            </w:pPr>
            <w:bookmarkStart w:id="29" w:name="OLE_LINK1"/>
            <w:bookmarkStart w:id="30" w:name="OLE_LINK2"/>
            <w:r w:rsidRPr="00202FC5">
              <w:rPr>
                <w:rFonts w:cs="Arial"/>
                <w:b/>
              </w:rPr>
              <w:t>Abbreviations</w:t>
            </w:r>
          </w:p>
        </w:tc>
        <w:tc>
          <w:tcPr>
            <w:tcW w:w="7056" w:type="dxa"/>
            <w:tcBorders>
              <w:top w:val="dotted" w:sz="2" w:space="0" w:color="808080"/>
              <w:left w:val="dotted" w:sz="2" w:space="0" w:color="808080"/>
              <w:bottom w:val="dotted" w:sz="2" w:space="0" w:color="808080"/>
              <w:right w:val="dotted" w:sz="2" w:space="0" w:color="808080"/>
            </w:tcBorders>
            <w:shd w:val="clear" w:color="auto" w:fill="D9D9D9"/>
            <w:vAlign w:val="center"/>
            <w:hideMark/>
          </w:tcPr>
          <w:p w14:paraId="22986321" w14:textId="77777777" w:rsidR="00CD79A8" w:rsidRPr="00202FC5" w:rsidRDefault="00CD79A8">
            <w:pPr>
              <w:rPr>
                <w:rFonts w:cs="Arial"/>
                <w:b/>
              </w:rPr>
            </w:pPr>
            <w:r w:rsidRPr="00202FC5">
              <w:rPr>
                <w:rFonts w:cs="Arial"/>
                <w:b/>
              </w:rPr>
              <w:t>Description</w:t>
            </w:r>
          </w:p>
        </w:tc>
        <w:bookmarkEnd w:id="29"/>
        <w:bookmarkEnd w:id="30"/>
      </w:tr>
      <w:tr w:rsidR="00CD79A8" w14:paraId="534C5E4B" w14:textId="77777777" w:rsidTr="00202FC5">
        <w:tc>
          <w:tcPr>
            <w:tcW w:w="2016" w:type="dxa"/>
            <w:tcBorders>
              <w:top w:val="dotted" w:sz="2" w:space="0" w:color="808080"/>
              <w:left w:val="dotted" w:sz="2" w:space="0" w:color="808080"/>
              <w:bottom w:val="dotted" w:sz="2" w:space="0" w:color="808080"/>
              <w:right w:val="dotted" w:sz="2" w:space="0" w:color="808080"/>
            </w:tcBorders>
            <w:shd w:val="clear" w:color="auto" w:fill="FFFFFF"/>
            <w:hideMark/>
          </w:tcPr>
          <w:p w14:paraId="1771AB04" w14:textId="77777777" w:rsidR="00CD79A8" w:rsidRDefault="00CD79A8">
            <w:pPr>
              <w:rPr>
                <w:rFonts w:cs="Arial"/>
                <w:szCs w:val="24"/>
              </w:rPr>
            </w:pPr>
            <w:r>
              <w:rPr>
                <w:rFonts w:eastAsia="Microsoft JhengHei" w:cs="Arial"/>
                <w:szCs w:val="24"/>
              </w:rPr>
              <w:t>PII, Personal Identifiable Information,</w:t>
            </w:r>
            <w:r>
              <w:rPr>
                <w:rFonts w:eastAsia="Microsoft JhengHei" w:cs="Arial"/>
                <w:szCs w:val="24"/>
              </w:rPr>
              <w:br/>
              <w:t>Personal Data</w:t>
            </w:r>
          </w:p>
        </w:tc>
        <w:tc>
          <w:tcPr>
            <w:tcW w:w="7056" w:type="dxa"/>
            <w:tcBorders>
              <w:top w:val="dotted" w:sz="2" w:space="0" w:color="808080"/>
              <w:left w:val="dotted" w:sz="2" w:space="0" w:color="808080"/>
              <w:bottom w:val="dotted" w:sz="2" w:space="0" w:color="808080"/>
              <w:right w:val="dotted" w:sz="2" w:space="0" w:color="808080"/>
            </w:tcBorders>
            <w:shd w:val="clear" w:color="auto" w:fill="FFFFFF"/>
            <w:hideMark/>
          </w:tcPr>
          <w:p w14:paraId="7EBA7CA2" w14:textId="77777777" w:rsidR="00CD79A8" w:rsidRDefault="00CD79A8">
            <w:pPr>
              <w:rPr>
                <w:rFonts w:cs="Arial"/>
                <w:lang w:eastAsia="zh-TW"/>
              </w:rPr>
            </w:pPr>
            <w:r>
              <w:rPr>
                <w:rFonts w:cs="Arial"/>
                <w:lang w:eastAsia="zh-TW"/>
              </w:rPr>
              <w:t>Refer to the personal data defined by the EU GDPR (Article 4 (1)),</w:t>
            </w:r>
            <w:r>
              <w:rPr>
                <w:rFonts w:cs="Arial"/>
                <w:lang w:eastAsia="zh-TW"/>
              </w:rPr>
              <w:b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CD79A8" w14:paraId="1115332F"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33CA3E6F" w14:textId="77777777" w:rsidR="00CD79A8" w:rsidRDefault="00CD79A8">
            <w:pPr>
              <w:pStyle w:val="BodyText"/>
            </w:pPr>
            <w:r>
              <w:t>Data Subject</w:t>
            </w:r>
          </w:p>
        </w:tc>
        <w:tc>
          <w:tcPr>
            <w:tcW w:w="7056" w:type="dxa"/>
            <w:tcBorders>
              <w:top w:val="dotted" w:sz="2" w:space="0" w:color="808080"/>
              <w:left w:val="dotted" w:sz="2" w:space="0" w:color="808080"/>
              <w:bottom w:val="dotted" w:sz="2" w:space="0" w:color="808080"/>
              <w:right w:val="dotted" w:sz="2" w:space="0" w:color="808080"/>
            </w:tcBorders>
            <w:hideMark/>
          </w:tcPr>
          <w:p w14:paraId="70CA0455" w14:textId="77777777" w:rsidR="00CD79A8" w:rsidRDefault="00CD79A8">
            <w:pPr>
              <w:pStyle w:val="BodyText"/>
              <w:rPr>
                <w:lang w:eastAsia="zh-TW"/>
              </w:rPr>
            </w:pPr>
            <w:r>
              <w:rPr>
                <w:lang w:eastAsia="zh-TW"/>
              </w:rPr>
              <w:t>EU GDPR (Article 4 - 1),</w:t>
            </w:r>
            <w:r>
              <w:rPr>
                <w:lang w:eastAsia="zh-TW"/>
              </w:rPr>
              <w:br/>
            </w:r>
            <w:r>
              <w:t>Data subject refers to any individual person who can be identified, directly or indirectly.</w:t>
            </w:r>
          </w:p>
        </w:tc>
      </w:tr>
      <w:tr w:rsidR="00CD79A8" w14:paraId="74DDC8BA"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755940C0" w14:textId="77777777" w:rsidR="00CD79A8" w:rsidRDefault="00CD79A8">
            <w:pPr>
              <w:pStyle w:val="BodyText"/>
            </w:pPr>
            <w:r>
              <w:t>Data Controller</w:t>
            </w:r>
          </w:p>
        </w:tc>
        <w:tc>
          <w:tcPr>
            <w:tcW w:w="7056" w:type="dxa"/>
            <w:tcBorders>
              <w:top w:val="dotted" w:sz="2" w:space="0" w:color="808080"/>
              <w:left w:val="dotted" w:sz="2" w:space="0" w:color="808080"/>
              <w:bottom w:val="dotted" w:sz="2" w:space="0" w:color="808080"/>
              <w:right w:val="dotted" w:sz="2" w:space="0" w:color="808080"/>
            </w:tcBorders>
            <w:hideMark/>
          </w:tcPr>
          <w:p w14:paraId="7C160C2B" w14:textId="77777777" w:rsidR="00CD79A8" w:rsidRDefault="00CD79A8">
            <w:pPr>
              <w:pStyle w:val="BodyText"/>
              <w:rPr>
                <w:lang w:eastAsia="zh-TW"/>
              </w:rPr>
            </w:pPr>
            <w:r>
              <w:rPr>
                <w:lang w:eastAsia="zh-TW"/>
              </w:rPr>
              <w:t>EU GDPR (Article 4 - 7),</w:t>
            </w:r>
            <w:r>
              <w:rPr>
                <w:lang w:eastAsia="zh-TW"/>
              </w:rPr>
              <w:br/>
              <w:t>Data Controller means the natural or legal person, public authority, agency or anybody which alone or jointly with others, determines the purpose and means of processing of personal data; where the purpose and means of such processing are determined by Union or Member State law, the controller or the specific criteria for its nomination may be provided for by Union or Member State law.</w:t>
            </w:r>
          </w:p>
        </w:tc>
      </w:tr>
      <w:tr w:rsidR="00CD79A8" w14:paraId="7E3C14C4"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7B6A7231" w14:textId="77777777" w:rsidR="00CD79A8" w:rsidRDefault="00CD79A8">
            <w:pPr>
              <w:pStyle w:val="BodyText"/>
            </w:pPr>
            <w:r>
              <w:t>Data Processor</w:t>
            </w:r>
          </w:p>
        </w:tc>
        <w:tc>
          <w:tcPr>
            <w:tcW w:w="7056" w:type="dxa"/>
            <w:tcBorders>
              <w:top w:val="dotted" w:sz="2" w:space="0" w:color="808080"/>
              <w:left w:val="dotted" w:sz="2" w:space="0" w:color="808080"/>
              <w:bottom w:val="dotted" w:sz="2" w:space="0" w:color="808080"/>
              <w:right w:val="dotted" w:sz="2" w:space="0" w:color="808080"/>
            </w:tcBorders>
            <w:hideMark/>
          </w:tcPr>
          <w:p w14:paraId="3DABADEC" w14:textId="77777777" w:rsidR="00CD79A8" w:rsidRDefault="00CD79A8">
            <w:pPr>
              <w:pStyle w:val="BodyText"/>
              <w:rPr>
                <w:lang w:eastAsia="zh-TW"/>
              </w:rPr>
            </w:pPr>
            <w:r>
              <w:rPr>
                <w:lang w:eastAsia="zh-TW"/>
              </w:rPr>
              <w:t>EU GDPR (Article 4 - 8),</w:t>
            </w:r>
            <w:r>
              <w:rPr>
                <w:lang w:eastAsia="zh-TW"/>
              </w:rPr>
              <w:br/>
              <w:t>Data Processor means a natural or legal person, public authority, agency or anybody which processes data on behalf of the controller.</w:t>
            </w:r>
          </w:p>
        </w:tc>
      </w:tr>
      <w:tr w:rsidR="00CD79A8" w14:paraId="002CB192"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61F5A1D5" w14:textId="77777777" w:rsidR="00CD79A8" w:rsidRDefault="00CD79A8">
            <w:pPr>
              <w:pStyle w:val="BodyText"/>
            </w:pPr>
            <w:r>
              <w:t xml:space="preserve">Recipient </w:t>
            </w:r>
          </w:p>
        </w:tc>
        <w:tc>
          <w:tcPr>
            <w:tcW w:w="7056" w:type="dxa"/>
            <w:tcBorders>
              <w:top w:val="dotted" w:sz="2" w:space="0" w:color="808080"/>
              <w:left w:val="dotted" w:sz="2" w:space="0" w:color="808080"/>
              <w:bottom w:val="dotted" w:sz="2" w:space="0" w:color="808080"/>
              <w:right w:val="dotted" w:sz="2" w:space="0" w:color="808080"/>
            </w:tcBorders>
            <w:hideMark/>
          </w:tcPr>
          <w:p w14:paraId="274E4152" w14:textId="77777777" w:rsidR="00CD79A8" w:rsidRDefault="00CD79A8">
            <w:pPr>
              <w:pStyle w:val="BodyText"/>
              <w:rPr>
                <w:lang w:eastAsia="zh-TW"/>
              </w:rPr>
            </w:pPr>
            <w:r>
              <w:rPr>
                <w:lang w:eastAsia="zh-TW"/>
              </w:rPr>
              <w:t>EU GDPR (Article 4 - 9),</w:t>
            </w:r>
            <w:r>
              <w:rPr>
                <w:lang w:eastAsia="zh-TW"/>
              </w:rPr>
              <w:br/>
              <w:t>A natural or legal person, public authority, agency or anybody, to which the personal data are disclosed, whether third party or not.</w:t>
            </w:r>
          </w:p>
        </w:tc>
      </w:tr>
      <w:tr w:rsidR="00CD79A8" w14:paraId="0752DC61"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4DA4EC27" w14:textId="77777777" w:rsidR="00CD79A8" w:rsidRDefault="00CD79A8">
            <w:pPr>
              <w:pStyle w:val="BodyText"/>
            </w:pPr>
            <w:r>
              <w:t>Third Party</w:t>
            </w:r>
          </w:p>
        </w:tc>
        <w:tc>
          <w:tcPr>
            <w:tcW w:w="7056" w:type="dxa"/>
            <w:tcBorders>
              <w:top w:val="dotted" w:sz="2" w:space="0" w:color="808080"/>
              <w:left w:val="dotted" w:sz="2" w:space="0" w:color="808080"/>
              <w:bottom w:val="dotted" w:sz="2" w:space="0" w:color="808080"/>
              <w:right w:val="dotted" w:sz="2" w:space="0" w:color="808080"/>
            </w:tcBorders>
            <w:hideMark/>
          </w:tcPr>
          <w:p w14:paraId="4B048443" w14:textId="77777777" w:rsidR="00CD79A8" w:rsidRDefault="00CD79A8">
            <w:pPr>
              <w:pStyle w:val="BodyText"/>
              <w:rPr>
                <w:lang w:eastAsia="zh-TW"/>
              </w:rPr>
            </w:pPr>
            <w:r>
              <w:rPr>
                <w:lang w:eastAsia="zh-TW"/>
              </w:rPr>
              <w:t>EU GDPR (Article 4 - 10),</w:t>
            </w:r>
            <w:r>
              <w:rPr>
                <w:lang w:eastAsia="zh-TW"/>
              </w:rPr>
              <w:br/>
              <w:t>A natural or legal person, public authority, agency or anybody other than the data subject, controller, processor and persons who under direct authority of controller or processor, are authorized to process personal data</w:t>
            </w:r>
          </w:p>
        </w:tc>
      </w:tr>
      <w:tr w:rsidR="00CD79A8" w14:paraId="58A99BEF"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6F728259" w14:textId="77777777" w:rsidR="00CD79A8" w:rsidRDefault="00CD79A8">
            <w:pPr>
              <w:pStyle w:val="BodyText"/>
            </w:pPr>
            <w:r>
              <w:t>Information Rating</w:t>
            </w:r>
          </w:p>
        </w:tc>
        <w:tc>
          <w:tcPr>
            <w:tcW w:w="7056" w:type="dxa"/>
            <w:tcBorders>
              <w:top w:val="dotted" w:sz="2" w:space="0" w:color="808080"/>
              <w:left w:val="dotted" w:sz="2" w:space="0" w:color="808080"/>
              <w:bottom w:val="dotted" w:sz="2" w:space="0" w:color="808080"/>
              <w:right w:val="dotted" w:sz="2" w:space="0" w:color="808080"/>
            </w:tcBorders>
            <w:hideMark/>
          </w:tcPr>
          <w:p w14:paraId="16FF8D64" w14:textId="77777777" w:rsidR="00CD79A8" w:rsidRDefault="00CD79A8">
            <w:pPr>
              <w:rPr>
                <w:rFonts w:cs="Arial"/>
                <w:lang w:eastAsia="zh-TW"/>
              </w:rPr>
            </w:pPr>
            <w:r>
              <w:rPr>
                <w:rFonts w:cs="Arial"/>
                <w:lang w:eastAsia="zh-TW"/>
              </w:rPr>
              <w:t xml:space="preserve">All information will be marked or annotated to assist with processing, distribution, storage and disposal. Information classification marks are: "top secret information" and "confidential information" should be placed at the bottom of all the files in the central (if practicable). If the information </w:t>
            </w:r>
            <w:r>
              <w:rPr>
                <w:rFonts w:cs="Arial"/>
                <w:lang w:eastAsia="zh-TW"/>
              </w:rPr>
              <w:lastRenderedPageBreak/>
              <w:t>classification mark is not visible, it can be embedded in the metadata of the file.</w:t>
            </w:r>
          </w:p>
          <w:p w14:paraId="64DFEEF2" w14:textId="77777777" w:rsidR="00CD79A8" w:rsidRDefault="00CD79A8">
            <w:pPr>
              <w:rPr>
                <w:rFonts w:cs="Arial"/>
                <w:lang w:eastAsia="zh-TW"/>
              </w:rPr>
            </w:pPr>
            <w:r>
              <w:rPr>
                <w:rFonts w:cs="Arial"/>
                <w:lang w:eastAsia="zh-TW"/>
              </w:rPr>
              <w:t>all information will be classified according to the following classification labels:</w:t>
            </w:r>
          </w:p>
          <w:p w14:paraId="7DDEADE6" w14:textId="77777777" w:rsidR="00CD79A8" w:rsidRDefault="00CD79A8" w:rsidP="00CD79A8">
            <w:pPr>
              <w:pStyle w:val="ListParagraph"/>
              <w:numPr>
                <w:ilvl w:val="0"/>
                <w:numId w:val="37"/>
              </w:numPr>
              <w:rPr>
                <w:rFonts w:cs="Arial"/>
                <w:lang w:eastAsia="zh-TW"/>
              </w:rPr>
            </w:pPr>
            <w:r>
              <w:rPr>
                <w:rFonts w:cs="Arial"/>
                <w:lang w:eastAsia="zh-TW"/>
              </w:rPr>
              <w:t>Top Secret Information ("Top Secret Information ")</w:t>
            </w:r>
          </w:p>
          <w:p w14:paraId="62C257A6" w14:textId="77777777" w:rsidR="00CD79A8" w:rsidRDefault="00CD79A8" w:rsidP="00CD79A8">
            <w:pPr>
              <w:pStyle w:val="ListParagraph"/>
              <w:numPr>
                <w:ilvl w:val="0"/>
                <w:numId w:val="37"/>
              </w:numPr>
              <w:rPr>
                <w:rFonts w:cs="Arial"/>
                <w:lang w:eastAsia="zh-TW"/>
              </w:rPr>
            </w:pPr>
            <w:r>
              <w:rPr>
                <w:rFonts w:cs="Arial"/>
                <w:lang w:eastAsia="zh-TW"/>
              </w:rPr>
              <w:t>Confidential Information ("Confidential Information ")</w:t>
            </w:r>
          </w:p>
          <w:p w14:paraId="54A96853" w14:textId="77777777" w:rsidR="00CD79A8" w:rsidRDefault="00CD79A8" w:rsidP="00CD79A8">
            <w:pPr>
              <w:pStyle w:val="ListParagraph"/>
              <w:numPr>
                <w:ilvl w:val="0"/>
                <w:numId w:val="37"/>
              </w:numPr>
              <w:rPr>
                <w:rFonts w:cs="Arial"/>
                <w:lang w:eastAsia="zh-TW"/>
              </w:rPr>
            </w:pPr>
            <w:r>
              <w:rPr>
                <w:rFonts w:cs="Arial"/>
                <w:lang w:eastAsia="zh-TW"/>
              </w:rPr>
              <w:t>Internal use (Only internal information for employees)</w:t>
            </w:r>
          </w:p>
          <w:p w14:paraId="02141D03" w14:textId="77777777" w:rsidR="00CD79A8" w:rsidRDefault="00CD79A8">
            <w:pPr>
              <w:pStyle w:val="BodyText"/>
            </w:pPr>
            <w:r>
              <w:rPr>
                <w:rFonts w:cs="Arial"/>
              </w:rPr>
              <w:t>Public information</w:t>
            </w:r>
          </w:p>
        </w:tc>
      </w:tr>
      <w:tr w:rsidR="00CD79A8" w14:paraId="468254C1"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7DD0013B" w14:textId="77777777" w:rsidR="00CD79A8" w:rsidRDefault="00CD79A8">
            <w:pPr>
              <w:pStyle w:val="BodyText"/>
            </w:pPr>
            <w:r>
              <w:lastRenderedPageBreak/>
              <w:t>DPO/GDPO</w:t>
            </w:r>
          </w:p>
        </w:tc>
        <w:tc>
          <w:tcPr>
            <w:tcW w:w="7056" w:type="dxa"/>
            <w:tcBorders>
              <w:top w:val="dotted" w:sz="2" w:space="0" w:color="808080"/>
              <w:left w:val="dotted" w:sz="2" w:space="0" w:color="808080"/>
              <w:bottom w:val="dotted" w:sz="2" w:space="0" w:color="808080"/>
              <w:right w:val="dotted" w:sz="2" w:space="0" w:color="808080"/>
            </w:tcBorders>
            <w:hideMark/>
          </w:tcPr>
          <w:p w14:paraId="2FCC2A5F" w14:textId="77777777" w:rsidR="00CD79A8" w:rsidRDefault="00CD79A8">
            <w:pPr>
              <w:pStyle w:val="BodyText"/>
            </w:pPr>
            <w:r>
              <w:t>Data Protection Officer/Global Data Protection Officer</w:t>
            </w:r>
          </w:p>
        </w:tc>
      </w:tr>
      <w:tr w:rsidR="00CD79A8" w14:paraId="779E3B9F"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10FA4C94" w14:textId="77777777" w:rsidR="00CD79A8" w:rsidRDefault="00CD79A8">
            <w:pPr>
              <w:pStyle w:val="BodyText"/>
            </w:pPr>
            <w:r>
              <w:t>DPIA</w:t>
            </w:r>
          </w:p>
        </w:tc>
        <w:tc>
          <w:tcPr>
            <w:tcW w:w="7056" w:type="dxa"/>
            <w:tcBorders>
              <w:top w:val="dotted" w:sz="2" w:space="0" w:color="808080"/>
              <w:left w:val="dotted" w:sz="2" w:space="0" w:color="808080"/>
              <w:bottom w:val="dotted" w:sz="2" w:space="0" w:color="808080"/>
              <w:right w:val="dotted" w:sz="2" w:space="0" w:color="808080"/>
            </w:tcBorders>
            <w:hideMark/>
          </w:tcPr>
          <w:p w14:paraId="6D5882C9" w14:textId="77777777" w:rsidR="00CD79A8" w:rsidRDefault="00CD79A8">
            <w:pPr>
              <w:pStyle w:val="BodyText"/>
            </w:pPr>
            <w:r>
              <w:t>Data Protection Impacted Assessment</w:t>
            </w:r>
          </w:p>
        </w:tc>
      </w:tr>
      <w:tr w:rsidR="00CD79A8" w14:paraId="0137A17F"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0C624477" w14:textId="77777777" w:rsidR="00CD79A8" w:rsidRDefault="00CD79A8">
            <w:pPr>
              <w:rPr>
                <w:rFonts w:cs="Arial"/>
              </w:rPr>
            </w:pPr>
            <w:r>
              <w:rPr>
                <w:rFonts w:cs="Arial"/>
              </w:rPr>
              <w:t>PIMS</w:t>
            </w:r>
          </w:p>
        </w:tc>
        <w:tc>
          <w:tcPr>
            <w:tcW w:w="7056" w:type="dxa"/>
            <w:tcBorders>
              <w:top w:val="dotted" w:sz="2" w:space="0" w:color="808080"/>
              <w:left w:val="dotted" w:sz="2" w:space="0" w:color="808080"/>
              <w:bottom w:val="dotted" w:sz="2" w:space="0" w:color="808080"/>
              <w:right w:val="dotted" w:sz="2" w:space="0" w:color="808080"/>
            </w:tcBorders>
            <w:hideMark/>
          </w:tcPr>
          <w:p w14:paraId="30E94CE4" w14:textId="77777777" w:rsidR="00CD79A8" w:rsidRDefault="00CD79A8">
            <w:pPr>
              <w:rPr>
                <w:rFonts w:cs="Arial"/>
              </w:rPr>
            </w:pPr>
            <w:r>
              <w:rPr>
                <w:rFonts w:cs="Arial"/>
              </w:rPr>
              <w:t>Personal Information Management System</w:t>
            </w:r>
          </w:p>
        </w:tc>
      </w:tr>
      <w:tr w:rsidR="00CD79A8" w14:paraId="670174A2" w14:textId="77777777" w:rsidTr="00202FC5">
        <w:tc>
          <w:tcPr>
            <w:tcW w:w="2016" w:type="dxa"/>
            <w:tcBorders>
              <w:top w:val="dotted" w:sz="2" w:space="0" w:color="808080"/>
              <w:left w:val="dotted" w:sz="2" w:space="0" w:color="808080"/>
              <w:bottom w:val="dotted" w:sz="2" w:space="0" w:color="808080"/>
              <w:right w:val="dotted" w:sz="2" w:space="0" w:color="808080"/>
            </w:tcBorders>
            <w:hideMark/>
          </w:tcPr>
          <w:p w14:paraId="4E3B305F" w14:textId="77777777" w:rsidR="00CD79A8" w:rsidRDefault="00CD79A8">
            <w:pPr>
              <w:rPr>
                <w:rFonts w:cs="Arial"/>
              </w:rPr>
            </w:pPr>
            <w:r>
              <w:rPr>
                <w:rFonts w:cs="Arial"/>
              </w:rPr>
              <w:t>EU</w:t>
            </w:r>
          </w:p>
        </w:tc>
        <w:tc>
          <w:tcPr>
            <w:tcW w:w="7056" w:type="dxa"/>
            <w:tcBorders>
              <w:top w:val="dotted" w:sz="2" w:space="0" w:color="808080"/>
              <w:left w:val="dotted" w:sz="2" w:space="0" w:color="808080"/>
              <w:bottom w:val="dotted" w:sz="2" w:space="0" w:color="808080"/>
              <w:right w:val="dotted" w:sz="2" w:space="0" w:color="808080"/>
            </w:tcBorders>
            <w:hideMark/>
          </w:tcPr>
          <w:p w14:paraId="4FBB7EEF" w14:textId="77777777" w:rsidR="00CD79A8" w:rsidRDefault="00CD79A8">
            <w:pPr>
              <w:rPr>
                <w:rFonts w:cs="Arial"/>
              </w:rPr>
            </w:pPr>
            <w:r>
              <w:rPr>
                <w:rFonts w:cs="Arial"/>
              </w:rPr>
              <w:t>European Union</w:t>
            </w:r>
          </w:p>
        </w:tc>
      </w:tr>
    </w:tbl>
    <w:p w14:paraId="3DE45493" w14:textId="77777777" w:rsidR="00CD79A8" w:rsidRDefault="00CD79A8" w:rsidP="00CD79A8">
      <w:pPr>
        <w:pStyle w:val="BodyText"/>
      </w:pPr>
    </w:p>
    <w:p w14:paraId="7B8D708D" w14:textId="77777777" w:rsidR="00CD79A8" w:rsidRDefault="00CD79A8" w:rsidP="00CD79A8">
      <w:pPr>
        <w:spacing w:before="0" w:line="240" w:lineRule="auto"/>
      </w:pPr>
      <w:r>
        <w:br w:type="page"/>
      </w:r>
    </w:p>
    <w:p w14:paraId="7C23D9AA" w14:textId="77777777" w:rsidR="00CD79A8" w:rsidRPr="00202FC5" w:rsidRDefault="00CD79A8" w:rsidP="00CD79A8">
      <w:pPr>
        <w:pStyle w:val="Heading2"/>
        <w:numPr>
          <w:ilvl w:val="1"/>
          <w:numId w:val="24"/>
        </w:numPr>
        <w:rPr>
          <w:rFonts w:cs="Arial"/>
          <w:szCs w:val="22"/>
        </w:rPr>
      </w:pPr>
      <w:bookmarkStart w:id="31" w:name="_Toc72762029"/>
      <w:bookmarkStart w:id="32" w:name="_Toc117593904"/>
      <w:r w:rsidRPr="00202FC5">
        <w:rPr>
          <w:rFonts w:cs="Arial"/>
          <w:szCs w:val="22"/>
        </w:rPr>
        <w:lastRenderedPageBreak/>
        <w:t>Related Documents</w:t>
      </w:r>
      <w:bookmarkEnd w:id="31"/>
      <w:bookmarkEnd w:id="32"/>
      <w:r w:rsidRPr="00202FC5">
        <w:rPr>
          <w:rFonts w:cs="Arial"/>
          <w:szCs w:val="22"/>
        </w:rPr>
        <w:t xml:space="preserve"> </w:t>
      </w:r>
    </w:p>
    <w:tbl>
      <w:tblPr>
        <w:tblW w:w="93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63"/>
        <w:gridCol w:w="2268"/>
        <w:gridCol w:w="5954"/>
      </w:tblGrid>
      <w:tr w:rsidR="005A4E7A" w:rsidRPr="00A40AE6" w14:paraId="539DDC05" w14:textId="77777777" w:rsidTr="0012096C">
        <w:trPr>
          <w:tblHeader/>
        </w:trPr>
        <w:tc>
          <w:tcPr>
            <w:tcW w:w="1163" w:type="dxa"/>
            <w:tcBorders>
              <w:top w:val="dotted" w:sz="4" w:space="0" w:color="auto"/>
              <w:left w:val="dotted" w:sz="4" w:space="0" w:color="auto"/>
              <w:bottom w:val="dotted" w:sz="4" w:space="0" w:color="auto"/>
              <w:right w:val="dotted" w:sz="4" w:space="0" w:color="auto"/>
            </w:tcBorders>
            <w:shd w:val="clear" w:color="auto" w:fill="D9D9D9"/>
            <w:hideMark/>
          </w:tcPr>
          <w:p w14:paraId="2E541077" w14:textId="77777777" w:rsidR="005A4E7A" w:rsidRPr="00A40AE6" w:rsidRDefault="005A4E7A" w:rsidP="0012096C">
            <w:pPr>
              <w:ind w:left="432"/>
              <w:rPr>
                <w:rFonts w:cs="Arial"/>
                <w:b/>
              </w:rPr>
            </w:pPr>
            <w:r w:rsidRPr="00A40AE6">
              <w:rPr>
                <w:rFonts w:cs="Arial"/>
                <w:b/>
              </w:rPr>
              <w:t>No</w:t>
            </w:r>
          </w:p>
        </w:tc>
        <w:tc>
          <w:tcPr>
            <w:tcW w:w="2268" w:type="dxa"/>
            <w:tcBorders>
              <w:top w:val="dotted" w:sz="4" w:space="0" w:color="auto"/>
              <w:left w:val="dotted" w:sz="4" w:space="0" w:color="auto"/>
              <w:bottom w:val="dotted" w:sz="4" w:space="0" w:color="auto"/>
              <w:right w:val="dotted" w:sz="4" w:space="0" w:color="auto"/>
            </w:tcBorders>
            <w:shd w:val="clear" w:color="auto" w:fill="D9D9D9"/>
            <w:hideMark/>
          </w:tcPr>
          <w:p w14:paraId="6A087AF2" w14:textId="77777777" w:rsidR="005A4E7A" w:rsidRPr="00A40AE6" w:rsidRDefault="005A4E7A" w:rsidP="0012096C">
            <w:pPr>
              <w:ind w:left="432"/>
              <w:rPr>
                <w:rFonts w:cs="Arial"/>
                <w:b/>
              </w:rPr>
            </w:pPr>
            <w:r w:rsidRPr="00A40AE6">
              <w:rPr>
                <w:rFonts w:cs="Arial"/>
                <w:b/>
              </w:rPr>
              <w:t>Code</w:t>
            </w:r>
          </w:p>
        </w:tc>
        <w:tc>
          <w:tcPr>
            <w:tcW w:w="5954" w:type="dxa"/>
            <w:tcBorders>
              <w:top w:val="dotted" w:sz="4" w:space="0" w:color="auto"/>
              <w:left w:val="dotted" w:sz="4" w:space="0" w:color="auto"/>
              <w:bottom w:val="dotted" w:sz="4" w:space="0" w:color="auto"/>
              <w:right w:val="dotted" w:sz="4" w:space="0" w:color="auto"/>
            </w:tcBorders>
            <w:shd w:val="clear" w:color="auto" w:fill="D9D9D9"/>
            <w:hideMark/>
          </w:tcPr>
          <w:p w14:paraId="62618E52" w14:textId="77777777" w:rsidR="005A4E7A" w:rsidRPr="00A40AE6" w:rsidRDefault="005A4E7A" w:rsidP="0012096C">
            <w:pPr>
              <w:ind w:left="432"/>
              <w:rPr>
                <w:rFonts w:cs="Arial"/>
                <w:b/>
              </w:rPr>
            </w:pPr>
            <w:r w:rsidRPr="00A40AE6">
              <w:rPr>
                <w:rFonts w:cs="Arial"/>
                <w:b/>
              </w:rPr>
              <w:t>Name of documents</w:t>
            </w:r>
          </w:p>
        </w:tc>
      </w:tr>
      <w:tr w:rsidR="005A4E7A" w14:paraId="58CAC882"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6A0E8BCC" w14:textId="77777777" w:rsidR="005A4E7A" w:rsidRDefault="005A4E7A" w:rsidP="0012096C">
            <w:pPr>
              <w:jc w:val="center"/>
              <w:rPr>
                <w:rFonts w:cs="Arial"/>
              </w:rPr>
            </w:pPr>
            <w:r>
              <w:rPr>
                <w:rFonts w:cs="Arial"/>
              </w:rPr>
              <w:t>1</w:t>
            </w:r>
          </w:p>
        </w:tc>
        <w:tc>
          <w:tcPr>
            <w:tcW w:w="2268" w:type="dxa"/>
            <w:tcBorders>
              <w:top w:val="dotted" w:sz="4" w:space="0" w:color="auto"/>
              <w:left w:val="dotted" w:sz="4" w:space="0" w:color="auto"/>
              <w:bottom w:val="dotted" w:sz="4" w:space="0" w:color="auto"/>
              <w:right w:val="dotted" w:sz="4" w:space="0" w:color="auto"/>
            </w:tcBorders>
            <w:hideMark/>
          </w:tcPr>
          <w:p w14:paraId="4B160519" w14:textId="77777777" w:rsidR="005A4E7A" w:rsidRDefault="005A4E7A" w:rsidP="0012096C">
            <w:pPr>
              <w:rPr>
                <w:rFonts w:cs="Arial"/>
              </w:rPr>
            </w:pPr>
            <w:r>
              <w:rPr>
                <w:rFonts w:cs="Arial"/>
              </w:rPr>
              <w:t>EU GDPR</w:t>
            </w:r>
          </w:p>
        </w:tc>
        <w:tc>
          <w:tcPr>
            <w:tcW w:w="5954" w:type="dxa"/>
            <w:tcBorders>
              <w:top w:val="dotted" w:sz="4" w:space="0" w:color="auto"/>
              <w:left w:val="dotted" w:sz="4" w:space="0" w:color="auto"/>
              <w:bottom w:val="dotted" w:sz="4" w:space="0" w:color="auto"/>
              <w:right w:val="dotted" w:sz="4" w:space="0" w:color="auto"/>
            </w:tcBorders>
            <w:hideMark/>
          </w:tcPr>
          <w:p w14:paraId="26CE70D1" w14:textId="77777777" w:rsidR="005A4E7A" w:rsidRDefault="005A4E7A" w:rsidP="0012096C">
            <w:pPr>
              <w:rPr>
                <w:rFonts w:cs="Arial"/>
              </w:rPr>
            </w:pPr>
            <w:r>
              <w:rPr>
                <w:rFonts w:cs="Arial"/>
              </w:rPr>
              <w:t>EU General Data Protection Regulation</w:t>
            </w:r>
          </w:p>
        </w:tc>
      </w:tr>
      <w:tr w:rsidR="005A4E7A" w14:paraId="4F655FE2"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767B011C" w14:textId="77777777" w:rsidR="005A4E7A" w:rsidRDefault="005A4E7A" w:rsidP="0012096C">
            <w:pPr>
              <w:jc w:val="center"/>
              <w:rPr>
                <w:rFonts w:cs="Arial"/>
              </w:rPr>
            </w:pPr>
            <w:r>
              <w:rPr>
                <w:rFonts w:cs="Arial"/>
              </w:rPr>
              <w:t>2</w:t>
            </w:r>
          </w:p>
        </w:tc>
        <w:tc>
          <w:tcPr>
            <w:tcW w:w="2268" w:type="dxa"/>
            <w:tcBorders>
              <w:top w:val="dotted" w:sz="4" w:space="0" w:color="auto"/>
              <w:left w:val="dotted" w:sz="4" w:space="0" w:color="auto"/>
              <w:bottom w:val="dotted" w:sz="4" w:space="0" w:color="auto"/>
              <w:right w:val="dotted" w:sz="4" w:space="0" w:color="auto"/>
            </w:tcBorders>
            <w:hideMark/>
          </w:tcPr>
          <w:p w14:paraId="67E67FDD" w14:textId="77777777" w:rsidR="005A4E7A" w:rsidRDefault="005A4E7A" w:rsidP="0012096C">
            <w:pPr>
              <w:rPr>
                <w:rFonts w:cs="Arial"/>
              </w:rPr>
            </w:pPr>
            <w:r>
              <w:rPr>
                <w:rFonts w:cs="Arial"/>
              </w:rPr>
              <w:t>95/46/EC</w:t>
            </w:r>
          </w:p>
        </w:tc>
        <w:tc>
          <w:tcPr>
            <w:tcW w:w="5954" w:type="dxa"/>
            <w:tcBorders>
              <w:top w:val="dotted" w:sz="4" w:space="0" w:color="auto"/>
              <w:left w:val="dotted" w:sz="4" w:space="0" w:color="auto"/>
              <w:bottom w:val="dotted" w:sz="4" w:space="0" w:color="auto"/>
              <w:right w:val="dotted" w:sz="4" w:space="0" w:color="auto"/>
            </w:tcBorders>
            <w:hideMark/>
          </w:tcPr>
          <w:p w14:paraId="10C42252" w14:textId="77777777" w:rsidR="005A4E7A" w:rsidRDefault="005A4E7A" w:rsidP="0012096C">
            <w:pPr>
              <w:rPr>
                <w:rFonts w:cs="Arial"/>
              </w:rPr>
            </w:pPr>
            <w:r>
              <w:rPr>
                <w:rFonts w:cs="Arial"/>
              </w:rPr>
              <w:t>EU Data Protection Directive 95/46/EC</w:t>
            </w:r>
          </w:p>
        </w:tc>
      </w:tr>
      <w:tr w:rsidR="005A4E7A" w14:paraId="1CEDA8BA"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7F1C2E80" w14:textId="77777777" w:rsidR="005A4E7A" w:rsidRDefault="005A4E7A" w:rsidP="0012096C">
            <w:pPr>
              <w:jc w:val="center"/>
              <w:rPr>
                <w:rFonts w:cs="Arial"/>
              </w:rPr>
            </w:pPr>
            <w:r>
              <w:rPr>
                <w:rFonts w:cs="Arial"/>
              </w:rPr>
              <w:t>3</w:t>
            </w:r>
          </w:p>
        </w:tc>
        <w:tc>
          <w:tcPr>
            <w:tcW w:w="2268" w:type="dxa"/>
            <w:tcBorders>
              <w:top w:val="dotted" w:sz="4" w:space="0" w:color="auto"/>
              <w:left w:val="dotted" w:sz="4" w:space="0" w:color="auto"/>
              <w:bottom w:val="dotted" w:sz="4" w:space="0" w:color="auto"/>
              <w:right w:val="dotted" w:sz="4" w:space="0" w:color="auto"/>
            </w:tcBorders>
            <w:hideMark/>
          </w:tcPr>
          <w:p w14:paraId="7730D6B0" w14:textId="77777777" w:rsidR="005A4E7A" w:rsidRDefault="005A4E7A" w:rsidP="0012096C">
            <w:pPr>
              <w:rPr>
                <w:rFonts w:cs="Arial"/>
              </w:rPr>
            </w:pPr>
            <w:r>
              <w:rPr>
                <w:rFonts w:cs="Arial"/>
              </w:rPr>
              <w:t>Privacy shield</w:t>
            </w:r>
          </w:p>
        </w:tc>
        <w:tc>
          <w:tcPr>
            <w:tcW w:w="5954" w:type="dxa"/>
            <w:tcBorders>
              <w:top w:val="dotted" w:sz="4" w:space="0" w:color="auto"/>
              <w:left w:val="dotted" w:sz="4" w:space="0" w:color="auto"/>
              <w:bottom w:val="dotted" w:sz="4" w:space="0" w:color="auto"/>
              <w:right w:val="dotted" w:sz="4" w:space="0" w:color="auto"/>
            </w:tcBorders>
            <w:hideMark/>
          </w:tcPr>
          <w:p w14:paraId="27A91740" w14:textId="77777777" w:rsidR="005A4E7A" w:rsidRDefault="005A4E7A" w:rsidP="0012096C">
            <w:pPr>
              <w:jc w:val="both"/>
              <w:rPr>
                <w:rFonts w:cs="Arial"/>
              </w:rPr>
            </w:pPr>
            <w:r>
              <w:rPr>
                <w:rFonts w:cs="Arial"/>
              </w:rPr>
              <w:t>EU-U.S. and Swiss-U.S. Privacy Shield Frameworks designed by the U.S. Department of Commerce and the European Commission and Swiss Administration to provide companies on both sides of the Atlantic with a mechanism to comply with data protection requirements when transferring personal data from the European Union and Switzerland to the United States in support of transatlantic commerce.</w:t>
            </w:r>
          </w:p>
        </w:tc>
      </w:tr>
      <w:tr w:rsidR="005A4E7A" w14:paraId="6968184F"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646E9D11" w14:textId="77777777" w:rsidR="005A4E7A" w:rsidRDefault="005A4E7A" w:rsidP="0012096C">
            <w:pPr>
              <w:jc w:val="center"/>
              <w:rPr>
                <w:rFonts w:cs="Arial"/>
              </w:rPr>
            </w:pPr>
            <w:r>
              <w:rPr>
                <w:rFonts w:cs="Arial"/>
              </w:rPr>
              <w:t>4</w:t>
            </w:r>
          </w:p>
        </w:tc>
        <w:tc>
          <w:tcPr>
            <w:tcW w:w="2268" w:type="dxa"/>
            <w:tcBorders>
              <w:top w:val="dotted" w:sz="4" w:space="0" w:color="auto"/>
              <w:left w:val="dotted" w:sz="4" w:space="0" w:color="auto"/>
              <w:bottom w:val="dotted" w:sz="4" w:space="0" w:color="auto"/>
              <w:right w:val="dotted" w:sz="4" w:space="0" w:color="auto"/>
            </w:tcBorders>
            <w:hideMark/>
          </w:tcPr>
          <w:p w14:paraId="028C898B" w14:textId="77777777" w:rsidR="005A4E7A" w:rsidRDefault="005A4E7A" w:rsidP="0012096C">
            <w:pPr>
              <w:rPr>
                <w:rFonts w:cs="Arial"/>
              </w:rPr>
            </w:pPr>
            <w:r>
              <w:rPr>
                <w:rFonts w:cs="Arial"/>
              </w:rPr>
              <w:t>APPI</w:t>
            </w:r>
          </w:p>
        </w:tc>
        <w:tc>
          <w:tcPr>
            <w:tcW w:w="5954" w:type="dxa"/>
            <w:tcBorders>
              <w:top w:val="dotted" w:sz="4" w:space="0" w:color="auto"/>
              <w:left w:val="dotted" w:sz="4" w:space="0" w:color="auto"/>
              <w:bottom w:val="dotted" w:sz="4" w:space="0" w:color="auto"/>
              <w:right w:val="dotted" w:sz="4" w:space="0" w:color="auto"/>
            </w:tcBorders>
            <w:hideMark/>
          </w:tcPr>
          <w:p w14:paraId="64855057" w14:textId="77777777" w:rsidR="005A4E7A" w:rsidRDefault="005A4E7A" w:rsidP="0012096C">
            <w:pPr>
              <w:rPr>
                <w:rFonts w:cs="Arial"/>
              </w:rPr>
            </w:pPr>
            <w:r>
              <w:rPr>
                <w:rFonts w:cs="Arial"/>
              </w:rPr>
              <w:t>Act on the Protection of Personal Information, Japan.</w:t>
            </w:r>
            <w:r>
              <w:rPr>
                <w:rFonts w:cs="Arial"/>
              </w:rPr>
              <w:br/>
              <w:t>It came into force on 30 May 2017.  </w:t>
            </w:r>
          </w:p>
        </w:tc>
      </w:tr>
      <w:tr w:rsidR="005A4E7A" w14:paraId="0A070491"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59798576" w14:textId="77777777" w:rsidR="005A4E7A" w:rsidRDefault="005A4E7A" w:rsidP="0012096C">
            <w:pPr>
              <w:jc w:val="center"/>
              <w:rPr>
                <w:rFonts w:cs="Arial"/>
              </w:rPr>
            </w:pPr>
            <w:r>
              <w:rPr>
                <w:rFonts w:cs="Arial"/>
              </w:rPr>
              <w:t>5</w:t>
            </w:r>
          </w:p>
        </w:tc>
        <w:tc>
          <w:tcPr>
            <w:tcW w:w="2268" w:type="dxa"/>
            <w:tcBorders>
              <w:top w:val="dotted" w:sz="4" w:space="0" w:color="auto"/>
              <w:left w:val="dotted" w:sz="4" w:space="0" w:color="auto"/>
              <w:bottom w:val="dotted" w:sz="4" w:space="0" w:color="auto"/>
              <w:right w:val="dotted" w:sz="4" w:space="0" w:color="auto"/>
            </w:tcBorders>
            <w:hideMark/>
          </w:tcPr>
          <w:p w14:paraId="2601D5E3" w14:textId="77777777" w:rsidR="005A4E7A" w:rsidRDefault="005A4E7A" w:rsidP="0012096C">
            <w:pPr>
              <w:rPr>
                <w:rFonts w:cs="Arial"/>
              </w:rPr>
            </w:pPr>
            <w:r>
              <w:rPr>
                <w:rFonts w:cs="Arial"/>
              </w:rPr>
              <w:t>PDPA</w:t>
            </w:r>
          </w:p>
        </w:tc>
        <w:tc>
          <w:tcPr>
            <w:tcW w:w="5954" w:type="dxa"/>
            <w:tcBorders>
              <w:top w:val="dotted" w:sz="4" w:space="0" w:color="auto"/>
              <w:left w:val="dotted" w:sz="4" w:space="0" w:color="auto"/>
              <w:bottom w:val="dotted" w:sz="4" w:space="0" w:color="auto"/>
              <w:right w:val="dotted" w:sz="4" w:space="0" w:color="auto"/>
            </w:tcBorders>
            <w:hideMark/>
          </w:tcPr>
          <w:p w14:paraId="2F772D06" w14:textId="77777777" w:rsidR="005A4E7A" w:rsidRDefault="005A4E7A" w:rsidP="0012096C">
            <w:pPr>
              <w:rPr>
                <w:rFonts w:cs="Arial"/>
              </w:rPr>
            </w:pPr>
            <w:r>
              <w:rPr>
                <w:rFonts w:cs="Arial"/>
              </w:rPr>
              <w:t>Personal Data Protection Act 2012, Singapore</w:t>
            </w:r>
          </w:p>
        </w:tc>
      </w:tr>
      <w:tr w:rsidR="005A4E7A" w14:paraId="34CB130C"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4A46E9CB" w14:textId="77777777" w:rsidR="005A4E7A" w:rsidRDefault="005A4E7A" w:rsidP="0012096C">
            <w:pPr>
              <w:jc w:val="center"/>
              <w:rPr>
                <w:rFonts w:cs="Arial"/>
              </w:rPr>
            </w:pPr>
            <w:r>
              <w:rPr>
                <w:rFonts w:cs="Arial"/>
              </w:rPr>
              <w:t>6</w:t>
            </w:r>
          </w:p>
        </w:tc>
        <w:tc>
          <w:tcPr>
            <w:tcW w:w="2268" w:type="dxa"/>
            <w:tcBorders>
              <w:top w:val="dotted" w:sz="4" w:space="0" w:color="auto"/>
              <w:left w:val="dotted" w:sz="4" w:space="0" w:color="auto"/>
              <w:bottom w:val="dotted" w:sz="4" w:space="0" w:color="auto"/>
              <w:right w:val="dotted" w:sz="4" w:space="0" w:color="auto"/>
            </w:tcBorders>
            <w:hideMark/>
          </w:tcPr>
          <w:p w14:paraId="1D83F6A7" w14:textId="77777777" w:rsidR="005A4E7A" w:rsidRDefault="005A4E7A" w:rsidP="0012096C">
            <w:pPr>
              <w:rPr>
                <w:rFonts w:cs="Arial"/>
              </w:rPr>
            </w:pPr>
            <w:r>
              <w:rPr>
                <w:rFonts w:cs="Arial"/>
              </w:rPr>
              <w:t>PDPO</w:t>
            </w:r>
          </w:p>
        </w:tc>
        <w:tc>
          <w:tcPr>
            <w:tcW w:w="5954" w:type="dxa"/>
            <w:tcBorders>
              <w:top w:val="dotted" w:sz="4" w:space="0" w:color="auto"/>
              <w:left w:val="dotted" w:sz="4" w:space="0" w:color="auto"/>
              <w:bottom w:val="dotted" w:sz="4" w:space="0" w:color="auto"/>
              <w:right w:val="dotted" w:sz="4" w:space="0" w:color="auto"/>
            </w:tcBorders>
            <w:hideMark/>
          </w:tcPr>
          <w:p w14:paraId="6A9A1957" w14:textId="77777777" w:rsidR="005A4E7A" w:rsidRDefault="005A4E7A" w:rsidP="0012096C">
            <w:pPr>
              <w:rPr>
                <w:rFonts w:cs="Arial"/>
              </w:rPr>
            </w:pPr>
            <w:r>
              <w:rPr>
                <w:rFonts w:cs="Arial"/>
              </w:rPr>
              <w:t>Personal Data (Privacy) Ordinance, Hongkong, 2012</w:t>
            </w:r>
          </w:p>
        </w:tc>
      </w:tr>
      <w:tr w:rsidR="005A4E7A" w14:paraId="0C49A9C4"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6DA6712C" w14:textId="77777777" w:rsidR="005A4E7A" w:rsidRDefault="005A4E7A" w:rsidP="0012096C">
            <w:pPr>
              <w:jc w:val="center"/>
              <w:rPr>
                <w:rFonts w:cs="Arial"/>
              </w:rPr>
            </w:pPr>
            <w:r>
              <w:rPr>
                <w:rFonts w:cs="Arial"/>
              </w:rPr>
              <w:t>7</w:t>
            </w:r>
          </w:p>
        </w:tc>
        <w:tc>
          <w:tcPr>
            <w:tcW w:w="2268" w:type="dxa"/>
            <w:tcBorders>
              <w:top w:val="dotted" w:sz="4" w:space="0" w:color="auto"/>
              <w:left w:val="dotted" w:sz="4" w:space="0" w:color="auto"/>
              <w:bottom w:val="dotted" w:sz="4" w:space="0" w:color="auto"/>
              <w:right w:val="dotted" w:sz="4" w:space="0" w:color="auto"/>
            </w:tcBorders>
            <w:hideMark/>
          </w:tcPr>
          <w:p w14:paraId="25509F92" w14:textId="77777777" w:rsidR="005A4E7A" w:rsidRDefault="005A4E7A" w:rsidP="0012096C">
            <w:pPr>
              <w:rPr>
                <w:rFonts w:cs="Arial"/>
              </w:rPr>
            </w:pPr>
            <w:r>
              <w:rPr>
                <w:rFonts w:cs="Arial"/>
              </w:rPr>
              <w:t>PIPA</w:t>
            </w:r>
          </w:p>
        </w:tc>
        <w:tc>
          <w:tcPr>
            <w:tcW w:w="5954" w:type="dxa"/>
            <w:tcBorders>
              <w:top w:val="dotted" w:sz="4" w:space="0" w:color="auto"/>
              <w:left w:val="dotted" w:sz="4" w:space="0" w:color="auto"/>
              <w:bottom w:val="dotted" w:sz="4" w:space="0" w:color="auto"/>
              <w:right w:val="dotted" w:sz="4" w:space="0" w:color="auto"/>
            </w:tcBorders>
            <w:hideMark/>
          </w:tcPr>
          <w:p w14:paraId="21065DD0" w14:textId="77777777" w:rsidR="005A4E7A" w:rsidRDefault="005A4E7A" w:rsidP="0012096C">
            <w:pPr>
              <w:rPr>
                <w:rFonts w:cs="Arial"/>
              </w:rPr>
            </w:pPr>
            <w:r>
              <w:rPr>
                <w:rFonts w:cs="Arial"/>
              </w:rPr>
              <w:t>South Korea’s substantial Personal Information Protection Act (PIPA) was enacted on Sept. 30, 2011</w:t>
            </w:r>
          </w:p>
        </w:tc>
      </w:tr>
      <w:tr w:rsidR="005A4E7A" w14:paraId="59C5E9D0"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01027656" w14:textId="77777777" w:rsidR="005A4E7A" w:rsidRDefault="005A4E7A" w:rsidP="0012096C">
            <w:pPr>
              <w:jc w:val="center"/>
              <w:rPr>
                <w:rFonts w:cs="Arial"/>
              </w:rPr>
            </w:pPr>
            <w:r>
              <w:rPr>
                <w:rFonts w:cs="Arial"/>
              </w:rPr>
              <w:t>8</w:t>
            </w:r>
          </w:p>
        </w:tc>
        <w:tc>
          <w:tcPr>
            <w:tcW w:w="2268" w:type="dxa"/>
            <w:tcBorders>
              <w:top w:val="dotted" w:sz="4" w:space="0" w:color="auto"/>
              <w:left w:val="dotted" w:sz="4" w:space="0" w:color="auto"/>
              <w:bottom w:val="dotted" w:sz="4" w:space="0" w:color="auto"/>
              <w:right w:val="dotted" w:sz="4" w:space="0" w:color="auto"/>
            </w:tcBorders>
            <w:hideMark/>
          </w:tcPr>
          <w:p w14:paraId="56826236" w14:textId="77777777" w:rsidR="005A4E7A" w:rsidRDefault="005A4E7A" w:rsidP="0012096C">
            <w:pPr>
              <w:rPr>
                <w:rFonts w:cs="Arial"/>
              </w:rPr>
            </w:pPr>
            <w:r>
              <w:rPr>
                <w:rFonts w:cs="Arial"/>
              </w:rPr>
              <w:t>PIPEDA</w:t>
            </w:r>
          </w:p>
        </w:tc>
        <w:tc>
          <w:tcPr>
            <w:tcW w:w="5954" w:type="dxa"/>
            <w:tcBorders>
              <w:top w:val="dotted" w:sz="4" w:space="0" w:color="auto"/>
              <w:left w:val="dotted" w:sz="4" w:space="0" w:color="auto"/>
              <w:bottom w:val="dotted" w:sz="4" w:space="0" w:color="auto"/>
              <w:right w:val="dotted" w:sz="4" w:space="0" w:color="auto"/>
            </w:tcBorders>
            <w:hideMark/>
          </w:tcPr>
          <w:p w14:paraId="62FE8875" w14:textId="77777777" w:rsidR="005A4E7A" w:rsidRDefault="005A4E7A" w:rsidP="0012096C">
            <w:pPr>
              <w:rPr>
                <w:rFonts w:cs="Arial"/>
              </w:rPr>
            </w:pPr>
            <w:r>
              <w:rPr>
                <w:rFonts w:cs="Arial"/>
              </w:rPr>
              <w:t>Personal Information Protection and Electronic Documents Act, Canada 2018</w:t>
            </w:r>
          </w:p>
        </w:tc>
      </w:tr>
      <w:tr w:rsidR="005A4E7A" w14:paraId="16193F86"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18A7AD54" w14:textId="77777777" w:rsidR="005A4E7A" w:rsidRDefault="005A4E7A" w:rsidP="0012096C">
            <w:pPr>
              <w:jc w:val="center"/>
              <w:rPr>
                <w:rFonts w:cs="Arial"/>
              </w:rPr>
            </w:pPr>
            <w:r>
              <w:rPr>
                <w:rFonts w:cs="Arial"/>
              </w:rPr>
              <w:t>9</w:t>
            </w:r>
          </w:p>
        </w:tc>
        <w:tc>
          <w:tcPr>
            <w:tcW w:w="2268" w:type="dxa"/>
            <w:tcBorders>
              <w:top w:val="dotted" w:sz="4" w:space="0" w:color="auto"/>
              <w:left w:val="dotted" w:sz="4" w:space="0" w:color="auto"/>
              <w:bottom w:val="dotted" w:sz="4" w:space="0" w:color="auto"/>
              <w:right w:val="dotted" w:sz="4" w:space="0" w:color="auto"/>
            </w:tcBorders>
            <w:hideMark/>
          </w:tcPr>
          <w:p w14:paraId="73B11E0B" w14:textId="77777777" w:rsidR="005A4E7A" w:rsidRDefault="005A4E7A" w:rsidP="0012096C">
            <w:pPr>
              <w:rPr>
                <w:rFonts w:eastAsia="Times New Roman" w:cs="Arial"/>
                <w:color w:val="000000"/>
                <w:shd w:val="clear" w:color="auto" w:fill="FFFFFF"/>
              </w:rPr>
            </w:pPr>
            <w:r>
              <w:rPr>
                <w:rFonts w:eastAsia="Times New Roman" w:cs="Arial"/>
                <w:color w:val="000000"/>
                <w:shd w:val="clear" w:color="auto" w:fill="FFFFFF"/>
              </w:rPr>
              <w:t>Privacy Act, APPs, CDR</w:t>
            </w:r>
          </w:p>
        </w:tc>
        <w:tc>
          <w:tcPr>
            <w:tcW w:w="5954" w:type="dxa"/>
            <w:tcBorders>
              <w:top w:val="dotted" w:sz="4" w:space="0" w:color="auto"/>
              <w:left w:val="dotted" w:sz="4" w:space="0" w:color="auto"/>
              <w:bottom w:val="dotted" w:sz="4" w:space="0" w:color="auto"/>
              <w:right w:val="dotted" w:sz="4" w:space="0" w:color="auto"/>
            </w:tcBorders>
            <w:hideMark/>
          </w:tcPr>
          <w:p w14:paraId="6CDA847A" w14:textId="77777777" w:rsidR="005A4E7A" w:rsidRDefault="005A4E7A" w:rsidP="0012096C">
            <w:pPr>
              <w:rPr>
                <w:rFonts w:cs="Arial"/>
                <w:color w:val="000000"/>
                <w:shd w:val="clear" w:color="auto" w:fill="FFFFFF"/>
              </w:rPr>
            </w:pPr>
            <w:r>
              <w:rPr>
                <w:rFonts w:cs="Arial"/>
                <w:color w:val="000000"/>
                <w:shd w:val="clear" w:color="auto" w:fill="FFFFFF"/>
              </w:rPr>
              <w:t>Privacy act Australia including Australian Privacy Principles, Consumer Data Right</w:t>
            </w:r>
          </w:p>
        </w:tc>
      </w:tr>
      <w:tr w:rsidR="005A4E7A" w14:paraId="4276990F"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61A6AD40" w14:textId="77777777" w:rsidR="005A4E7A" w:rsidRDefault="005A4E7A" w:rsidP="0012096C">
            <w:pPr>
              <w:jc w:val="center"/>
              <w:rPr>
                <w:rFonts w:cs="Arial"/>
              </w:rPr>
            </w:pPr>
            <w:r>
              <w:rPr>
                <w:rFonts w:cs="Arial"/>
              </w:rPr>
              <w:t>10</w:t>
            </w:r>
          </w:p>
        </w:tc>
        <w:tc>
          <w:tcPr>
            <w:tcW w:w="2268" w:type="dxa"/>
            <w:tcBorders>
              <w:top w:val="dotted" w:sz="4" w:space="0" w:color="auto"/>
              <w:left w:val="dotted" w:sz="4" w:space="0" w:color="auto"/>
              <w:bottom w:val="dotted" w:sz="4" w:space="0" w:color="auto"/>
              <w:right w:val="dotted" w:sz="4" w:space="0" w:color="auto"/>
            </w:tcBorders>
            <w:hideMark/>
          </w:tcPr>
          <w:p w14:paraId="52516B95" w14:textId="77777777" w:rsidR="005A4E7A" w:rsidRDefault="005A4E7A" w:rsidP="0012096C">
            <w:pPr>
              <w:rPr>
                <w:rFonts w:eastAsia="Times New Roman" w:cs="Arial"/>
                <w:color w:val="000000"/>
                <w:shd w:val="clear" w:color="auto" w:fill="FFFFFF"/>
              </w:rPr>
            </w:pPr>
            <w:r>
              <w:rPr>
                <w:rFonts w:eastAsia="Times New Roman" w:cs="Arial"/>
                <w:color w:val="000000"/>
                <w:shd w:val="clear" w:color="auto" w:fill="FFFFFF"/>
              </w:rPr>
              <w:t>HITRUST</w:t>
            </w:r>
          </w:p>
        </w:tc>
        <w:tc>
          <w:tcPr>
            <w:tcW w:w="5954" w:type="dxa"/>
            <w:tcBorders>
              <w:top w:val="dotted" w:sz="4" w:space="0" w:color="auto"/>
              <w:left w:val="dotted" w:sz="4" w:space="0" w:color="auto"/>
              <w:bottom w:val="dotted" w:sz="4" w:space="0" w:color="auto"/>
              <w:right w:val="dotted" w:sz="4" w:space="0" w:color="auto"/>
            </w:tcBorders>
            <w:hideMark/>
          </w:tcPr>
          <w:p w14:paraId="18990C39" w14:textId="77777777" w:rsidR="005A4E7A" w:rsidRDefault="005A4E7A" w:rsidP="0012096C">
            <w:pPr>
              <w:rPr>
                <w:rFonts w:cs="Arial"/>
              </w:rPr>
            </w:pPr>
            <w:r>
              <w:rPr>
                <w:rFonts w:cs="Arial"/>
                <w:color w:val="000000"/>
                <w:shd w:val="clear" w:color="auto" w:fill="FFFFFF"/>
              </w:rPr>
              <w:t>Health Information Trust Alliance (CSF, Common Security Framework</w:t>
            </w:r>
            <w:r>
              <w:rPr>
                <w:rFonts w:cs="Arial"/>
              </w:rPr>
              <w:t>)</w:t>
            </w:r>
          </w:p>
        </w:tc>
      </w:tr>
      <w:tr w:rsidR="005A4E7A" w14:paraId="7D247988"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5ADAB0AF" w14:textId="77777777" w:rsidR="005A4E7A" w:rsidRDefault="005A4E7A" w:rsidP="0012096C">
            <w:pPr>
              <w:spacing w:before="0"/>
              <w:jc w:val="center"/>
              <w:rPr>
                <w:rFonts w:cs="Arial"/>
              </w:rPr>
            </w:pPr>
            <w:r>
              <w:rPr>
                <w:rFonts w:cs="Arial"/>
              </w:rPr>
              <w:t>11</w:t>
            </w:r>
          </w:p>
        </w:tc>
        <w:tc>
          <w:tcPr>
            <w:tcW w:w="2268" w:type="dxa"/>
            <w:tcBorders>
              <w:top w:val="dotted" w:sz="4" w:space="0" w:color="auto"/>
              <w:left w:val="dotted" w:sz="4" w:space="0" w:color="auto"/>
              <w:bottom w:val="dotted" w:sz="4" w:space="0" w:color="auto"/>
              <w:right w:val="dotted" w:sz="4" w:space="0" w:color="auto"/>
            </w:tcBorders>
            <w:hideMark/>
          </w:tcPr>
          <w:p w14:paraId="12B91A6B" w14:textId="77777777" w:rsidR="005A4E7A" w:rsidRDefault="005A4E7A" w:rsidP="0012096C">
            <w:pPr>
              <w:rPr>
                <w:rFonts w:eastAsia="Times New Roman" w:cs="Arial"/>
                <w:color w:val="000000"/>
                <w:shd w:val="clear" w:color="auto" w:fill="FFFFFF"/>
              </w:rPr>
            </w:pPr>
            <w:r>
              <w:rPr>
                <w:rFonts w:eastAsia="Times New Roman" w:cs="Arial"/>
                <w:color w:val="000000"/>
                <w:shd w:val="clear" w:color="auto" w:fill="FFFFFF"/>
              </w:rPr>
              <w:t>HIPAA</w:t>
            </w:r>
          </w:p>
        </w:tc>
        <w:tc>
          <w:tcPr>
            <w:tcW w:w="5954" w:type="dxa"/>
            <w:tcBorders>
              <w:top w:val="dotted" w:sz="4" w:space="0" w:color="auto"/>
              <w:left w:val="dotted" w:sz="4" w:space="0" w:color="auto"/>
              <w:bottom w:val="dotted" w:sz="4" w:space="0" w:color="auto"/>
              <w:right w:val="dotted" w:sz="4" w:space="0" w:color="auto"/>
            </w:tcBorders>
            <w:hideMark/>
          </w:tcPr>
          <w:p w14:paraId="6237437A" w14:textId="77777777" w:rsidR="005A4E7A" w:rsidRDefault="005A4E7A" w:rsidP="0012096C">
            <w:r>
              <w:t>Health Insurance Portability and Accountability Act of 1996 (HIPAA), US</w:t>
            </w:r>
          </w:p>
        </w:tc>
      </w:tr>
      <w:tr w:rsidR="005A4E7A" w14:paraId="18E836C8"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7B574AEB" w14:textId="77777777" w:rsidR="005A4E7A" w:rsidRDefault="005A4E7A" w:rsidP="0012096C">
            <w:pPr>
              <w:jc w:val="center"/>
              <w:rPr>
                <w:rFonts w:cs="Arial"/>
              </w:rPr>
            </w:pPr>
            <w:r>
              <w:rPr>
                <w:rFonts w:cs="Arial"/>
              </w:rPr>
              <w:t>12</w:t>
            </w:r>
          </w:p>
        </w:tc>
        <w:tc>
          <w:tcPr>
            <w:tcW w:w="2268" w:type="dxa"/>
            <w:tcBorders>
              <w:top w:val="dotted" w:sz="4" w:space="0" w:color="auto"/>
              <w:left w:val="dotted" w:sz="4" w:space="0" w:color="auto"/>
              <w:bottom w:val="dotted" w:sz="4" w:space="0" w:color="auto"/>
              <w:right w:val="dotted" w:sz="4" w:space="0" w:color="auto"/>
            </w:tcBorders>
            <w:hideMark/>
          </w:tcPr>
          <w:p w14:paraId="5EE20498" w14:textId="77777777" w:rsidR="005A4E7A" w:rsidRDefault="005A4E7A" w:rsidP="0012096C">
            <w:pPr>
              <w:rPr>
                <w:rFonts w:cs="Arial"/>
              </w:rPr>
            </w:pPr>
            <w:r>
              <w:rPr>
                <w:rFonts w:cs="Arial"/>
              </w:rPr>
              <w:t>PCI DSS</w:t>
            </w:r>
          </w:p>
        </w:tc>
        <w:tc>
          <w:tcPr>
            <w:tcW w:w="5954" w:type="dxa"/>
            <w:tcBorders>
              <w:top w:val="dotted" w:sz="4" w:space="0" w:color="auto"/>
              <w:left w:val="dotted" w:sz="4" w:space="0" w:color="auto"/>
              <w:bottom w:val="dotted" w:sz="4" w:space="0" w:color="auto"/>
              <w:right w:val="dotted" w:sz="4" w:space="0" w:color="auto"/>
            </w:tcBorders>
            <w:hideMark/>
          </w:tcPr>
          <w:p w14:paraId="1FD7125D" w14:textId="77777777" w:rsidR="005A4E7A" w:rsidRDefault="005A4E7A" w:rsidP="0012096C">
            <w:pPr>
              <w:rPr>
                <w:rFonts w:cs="Arial"/>
              </w:rPr>
            </w:pPr>
            <w:r>
              <w:rPr>
                <w:rFonts w:cs="Arial"/>
              </w:rPr>
              <w:t>Payment Card Industry Data Security Standard, May 2018</w:t>
            </w:r>
          </w:p>
        </w:tc>
      </w:tr>
      <w:tr w:rsidR="005A4E7A" w14:paraId="3BC20F43"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1F8A4497" w14:textId="77777777" w:rsidR="005A4E7A" w:rsidRDefault="005A4E7A" w:rsidP="0012096C">
            <w:pPr>
              <w:jc w:val="center"/>
              <w:rPr>
                <w:rFonts w:cs="Arial"/>
              </w:rPr>
            </w:pPr>
            <w:r>
              <w:rPr>
                <w:rFonts w:cs="Arial"/>
              </w:rPr>
              <w:t>13</w:t>
            </w:r>
          </w:p>
        </w:tc>
        <w:tc>
          <w:tcPr>
            <w:tcW w:w="2268" w:type="dxa"/>
            <w:tcBorders>
              <w:top w:val="dotted" w:sz="4" w:space="0" w:color="auto"/>
              <w:left w:val="dotted" w:sz="4" w:space="0" w:color="auto"/>
              <w:bottom w:val="dotted" w:sz="4" w:space="0" w:color="auto"/>
              <w:right w:val="dotted" w:sz="4" w:space="0" w:color="auto"/>
            </w:tcBorders>
            <w:hideMark/>
          </w:tcPr>
          <w:p w14:paraId="16761599" w14:textId="77777777" w:rsidR="005A4E7A" w:rsidRDefault="005A4E7A" w:rsidP="0012096C">
            <w:pPr>
              <w:rPr>
                <w:rFonts w:cs="Arial"/>
                <w:color w:val="000000"/>
              </w:rPr>
            </w:pPr>
            <w:r>
              <w:rPr>
                <w:rFonts w:eastAsia="Times New Roman" w:cs="Arial"/>
                <w:color w:val="000000"/>
                <w:shd w:val="clear" w:color="auto" w:fill="FFFFFF"/>
              </w:rPr>
              <w:t>CCPA</w:t>
            </w:r>
          </w:p>
        </w:tc>
        <w:tc>
          <w:tcPr>
            <w:tcW w:w="5954" w:type="dxa"/>
            <w:tcBorders>
              <w:top w:val="dotted" w:sz="4" w:space="0" w:color="auto"/>
              <w:left w:val="dotted" w:sz="4" w:space="0" w:color="auto"/>
              <w:bottom w:val="dotted" w:sz="4" w:space="0" w:color="auto"/>
              <w:right w:val="dotted" w:sz="4" w:space="0" w:color="auto"/>
            </w:tcBorders>
            <w:hideMark/>
          </w:tcPr>
          <w:p w14:paraId="4B273FA9" w14:textId="77777777" w:rsidR="005A4E7A" w:rsidRDefault="005A4E7A" w:rsidP="0012096C">
            <w:pPr>
              <w:rPr>
                <w:rFonts w:ascii="Times New Roman" w:eastAsia="Times New Roman" w:hAnsi="Times New Roman"/>
                <w:color w:val="000000"/>
              </w:rPr>
            </w:pPr>
            <w:r>
              <w:rPr>
                <w:rFonts w:eastAsia="Times New Roman" w:cs="Arial"/>
                <w:color w:val="000000"/>
                <w:shd w:val="clear" w:color="auto" w:fill="FFFFFF"/>
              </w:rPr>
              <w:t>California Consumer Privacy Act of 2018, Cal. Civ. Code §§ 1798.100 et seq.</w:t>
            </w:r>
          </w:p>
        </w:tc>
      </w:tr>
      <w:tr w:rsidR="005A4E7A" w:rsidRPr="00DF2F10" w14:paraId="6DA0C3E2" w14:textId="77777777" w:rsidTr="0012096C">
        <w:tblPrEx>
          <w:tblLook w:val="0000" w:firstRow="0" w:lastRow="0" w:firstColumn="0" w:lastColumn="0" w:noHBand="0" w:noVBand="0"/>
        </w:tblPrEx>
        <w:tc>
          <w:tcPr>
            <w:tcW w:w="1163" w:type="dxa"/>
          </w:tcPr>
          <w:p w14:paraId="1ED04127" w14:textId="77777777" w:rsidR="005A4E7A" w:rsidRPr="00DF2F10" w:rsidRDefault="005A4E7A" w:rsidP="0012096C">
            <w:pPr>
              <w:jc w:val="center"/>
              <w:rPr>
                <w:rFonts w:cs="Arial"/>
              </w:rPr>
            </w:pPr>
            <w:r w:rsidRPr="00DF2F10">
              <w:rPr>
                <w:rFonts w:cs="Arial"/>
              </w:rPr>
              <w:t>1</w:t>
            </w:r>
            <w:r>
              <w:rPr>
                <w:rFonts w:cs="Arial"/>
              </w:rPr>
              <w:t>4</w:t>
            </w:r>
          </w:p>
        </w:tc>
        <w:tc>
          <w:tcPr>
            <w:tcW w:w="2268" w:type="dxa"/>
          </w:tcPr>
          <w:p w14:paraId="36603768" w14:textId="77777777" w:rsidR="005A4E7A" w:rsidRPr="00DF2F10" w:rsidRDefault="005A4E7A" w:rsidP="0012096C">
            <w:pPr>
              <w:rPr>
                <w:rFonts w:cs="Arial"/>
              </w:rPr>
            </w:pPr>
            <w:r w:rsidRPr="00DF2F10">
              <w:rPr>
                <w:rFonts w:cs="Arial"/>
              </w:rPr>
              <w:t>PDPL, UAR </w:t>
            </w:r>
          </w:p>
        </w:tc>
        <w:tc>
          <w:tcPr>
            <w:tcW w:w="5954" w:type="dxa"/>
          </w:tcPr>
          <w:p w14:paraId="243A5A23" w14:textId="77777777" w:rsidR="005A4E7A" w:rsidRPr="00DF2F10" w:rsidRDefault="005A4E7A" w:rsidP="0012096C">
            <w:pPr>
              <w:rPr>
                <w:rFonts w:cs="Arial"/>
              </w:rPr>
            </w:pPr>
            <w:r w:rsidRPr="00DF2F10">
              <w:rPr>
                <w:rFonts w:cs="Arial"/>
              </w:rPr>
              <w:t>Decree-Law No. 45 of 2021</w:t>
            </w:r>
          </w:p>
        </w:tc>
      </w:tr>
      <w:tr w:rsidR="005A4E7A" w:rsidRPr="00DF2F10" w14:paraId="5B3458AD" w14:textId="77777777" w:rsidTr="0012096C">
        <w:tblPrEx>
          <w:tblLook w:val="0000" w:firstRow="0" w:lastRow="0" w:firstColumn="0" w:lastColumn="0" w:noHBand="0" w:noVBand="0"/>
        </w:tblPrEx>
        <w:tc>
          <w:tcPr>
            <w:tcW w:w="1163" w:type="dxa"/>
          </w:tcPr>
          <w:p w14:paraId="4B87A6C4" w14:textId="77777777" w:rsidR="005A4E7A" w:rsidRPr="00DF2F10" w:rsidRDefault="005A4E7A" w:rsidP="0012096C">
            <w:pPr>
              <w:jc w:val="center"/>
              <w:rPr>
                <w:rFonts w:cs="Arial"/>
              </w:rPr>
            </w:pPr>
            <w:r>
              <w:rPr>
                <w:rFonts w:cs="Arial"/>
              </w:rPr>
              <w:t>15</w:t>
            </w:r>
          </w:p>
        </w:tc>
        <w:tc>
          <w:tcPr>
            <w:tcW w:w="2268" w:type="dxa"/>
          </w:tcPr>
          <w:p w14:paraId="2E159C2C" w14:textId="77777777" w:rsidR="005A4E7A" w:rsidRPr="00167C48" w:rsidRDefault="005A4E7A" w:rsidP="0012096C">
            <w:pPr>
              <w:rPr>
                <w:rFonts w:cs="Arial"/>
              </w:rPr>
            </w:pPr>
            <w:r>
              <w:rPr>
                <w:rFonts w:cs="Arial"/>
              </w:rPr>
              <w:t>DPA Philippines</w:t>
            </w:r>
          </w:p>
        </w:tc>
        <w:tc>
          <w:tcPr>
            <w:tcW w:w="5954" w:type="dxa"/>
          </w:tcPr>
          <w:p w14:paraId="0E151E34" w14:textId="77777777" w:rsidR="005A4E7A" w:rsidRPr="00DF2F10" w:rsidRDefault="005A4E7A" w:rsidP="0012096C">
            <w:pPr>
              <w:rPr>
                <w:rFonts w:cs="Arial"/>
              </w:rPr>
            </w:pPr>
            <w:r w:rsidRPr="00167C48">
              <w:rPr>
                <w:rFonts w:cs="Arial"/>
              </w:rPr>
              <w:t>Republic Act 10173</w:t>
            </w:r>
            <w:r>
              <w:rPr>
                <w:rFonts w:cs="Arial"/>
              </w:rPr>
              <w:t xml:space="preserve">, </w:t>
            </w:r>
            <w:r w:rsidRPr="00167C48">
              <w:rPr>
                <w:rFonts w:cs="Arial"/>
              </w:rPr>
              <w:t>Data privacy Act 2012</w:t>
            </w:r>
          </w:p>
        </w:tc>
      </w:tr>
      <w:tr w:rsidR="005A4E7A" w:rsidRPr="00D3376D" w14:paraId="2B38EAE2" w14:textId="77777777" w:rsidTr="0012096C">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023AD000" w14:textId="77777777" w:rsidR="005A4E7A" w:rsidRPr="00D3376D" w:rsidRDefault="005A4E7A" w:rsidP="0012096C">
            <w:pPr>
              <w:jc w:val="center"/>
              <w:rPr>
                <w:rFonts w:cs="Arial"/>
              </w:rPr>
            </w:pPr>
            <w:r>
              <w:rPr>
                <w:rFonts w:cs="Arial"/>
              </w:rPr>
              <w:t>16</w:t>
            </w:r>
          </w:p>
        </w:tc>
        <w:tc>
          <w:tcPr>
            <w:tcW w:w="2268" w:type="dxa"/>
            <w:tcBorders>
              <w:top w:val="dotted" w:sz="4" w:space="0" w:color="auto"/>
              <w:left w:val="dotted" w:sz="4" w:space="0" w:color="auto"/>
              <w:bottom w:val="dotted" w:sz="4" w:space="0" w:color="auto"/>
              <w:right w:val="dotted" w:sz="4" w:space="0" w:color="auto"/>
            </w:tcBorders>
          </w:tcPr>
          <w:p w14:paraId="254A39BD" w14:textId="77777777" w:rsidR="005A4E7A" w:rsidRPr="00D3376D" w:rsidRDefault="005A4E7A" w:rsidP="005A4E7A">
            <w:pPr>
              <w:rPr>
                <w:rFonts w:cs="Arial"/>
              </w:rPr>
            </w:pPr>
            <w:r>
              <w:rPr>
                <w:rFonts w:cs="Arial"/>
              </w:rPr>
              <w:t>PIPL</w:t>
            </w:r>
          </w:p>
        </w:tc>
        <w:tc>
          <w:tcPr>
            <w:tcW w:w="5954" w:type="dxa"/>
            <w:tcBorders>
              <w:top w:val="dotted" w:sz="4" w:space="0" w:color="auto"/>
              <w:left w:val="dotted" w:sz="4" w:space="0" w:color="auto"/>
              <w:bottom w:val="dotted" w:sz="4" w:space="0" w:color="auto"/>
              <w:right w:val="dotted" w:sz="4" w:space="0" w:color="auto"/>
            </w:tcBorders>
          </w:tcPr>
          <w:p w14:paraId="2B95C1CF" w14:textId="77777777" w:rsidR="005A4E7A" w:rsidRPr="00EB4879" w:rsidRDefault="005A4E7A" w:rsidP="005A4E7A">
            <w:pPr>
              <w:rPr>
                <w:rFonts w:cs="Arial"/>
                <w:color w:val="000000"/>
              </w:rPr>
            </w:pPr>
            <w:r w:rsidRPr="001B2A0A">
              <w:rPr>
                <w:rFonts w:cs="Arial"/>
                <w:color w:val="000000"/>
                <w:lang w:val="en-GB"/>
              </w:rPr>
              <w:t>Personal Information Protection Law of the People’s Republic of China and related laws and regulations</w:t>
            </w:r>
          </w:p>
        </w:tc>
      </w:tr>
      <w:tr w:rsidR="005A4E7A" w:rsidRPr="00D3376D" w14:paraId="5FA1716F" w14:textId="77777777" w:rsidTr="0012096C">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41979AEC" w14:textId="77777777" w:rsidR="005A4E7A" w:rsidRDefault="005A4E7A" w:rsidP="005A4E7A">
            <w:pPr>
              <w:jc w:val="center"/>
              <w:rPr>
                <w:rFonts w:cs="Arial"/>
              </w:rPr>
            </w:pPr>
            <w:r>
              <w:rPr>
                <w:rFonts w:cs="Arial"/>
              </w:rPr>
              <w:lastRenderedPageBreak/>
              <w:t>17</w:t>
            </w:r>
          </w:p>
        </w:tc>
        <w:tc>
          <w:tcPr>
            <w:tcW w:w="2268" w:type="dxa"/>
            <w:tcBorders>
              <w:top w:val="dotted" w:sz="4" w:space="0" w:color="auto"/>
              <w:left w:val="dotted" w:sz="4" w:space="0" w:color="auto"/>
              <w:bottom w:val="dotted" w:sz="4" w:space="0" w:color="auto"/>
              <w:right w:val="dotted" w:sz="4" w:space="0" w:color="auto"/>
            </w:tcBorders>
          </w:tcPr>
          <w:p w14:paraId="701F19C3" w14:textId="77777777" w:rsidR="005A4E7A" w:rsidRPr="00381625" w:rsidRDefault="005A4E7A" w:rsidP="005A4E7A">
            <w:pPr>
              <w:rPr>
                <w:rFonts w:cs="Arial"/>
              </w:rPr>
            </w:pPr>
            <w:r>
              <w:rPr>
                <w:rFonts w:cs="Arial"/>
              </w:rPr>
              <w:t xml:space="preserve">PDPA Malaysia </w:t>
            </w:r>
          </w:p>
        </w:tc>
        <w:tc>
          <w:tcPr>
            <w:tcW w:w="5954" w:type="dxa"/>
            <w:tcBorders>
              <w:top w:val="dotted" w:sz="4" w:space="0" w:color="auto"/>
              <w:left w:val="dotted" w:sz="4" w:space="0" w:color="auto"/>
              <w:bottom w:val="dotted" w:sz="4" w:space="0" w:color="auto"/>
              <w:right w:val="dotted" w:sz="4" w:space="0" w:color="auto"/>
            </w:tcBorders>
          </w:tcPr>
          <w:p w14:paraId="742C395C" w14:textId="77777777" w:rsidR="005A4E7A" w:rsidRPr="00381625" w:rsidRDefault="005A4E7A" w:rsidP="005A4E7A">
            <w:pPr>
              <w:rPr>
                <w:rFonts w:cs="Arial"/>
              </w:rPr>
            </w:pPr>
            <w:r>
              <w:rPr>
                <w:rFonts w:cs="Arial"/>
              </w:rPr>
              <w:t>Personal Data Protection Act 2010, Malaysia</w:t>
            </w:r>
          </w:p>
        </w:tc>
      </w:tr>
      <w:tr w:rsidR="005A4E7A" w14:paraId="45D74EA8" w14:textId="77777777" w:rsidTr="0012096C">
        <w:tc>
          <w:tcPr>
            <w:tcW w:w="1163" w:type="dxa"/>
            <w:tcBorders>
              <w:top w:val="dotted" w:sz="4" w:space="0" w:color="auto"/>
              <w:left w:val="dotted" w:sz="4" w:space="0" w:color="auto"/>
              <w:bottom w:val="dotted" w:sz="4" w:space="0" w:color="auto"/>
              <w:right w:val="dotted" w:sz="4" w:space="0" w:color="auto"/>
            </w:tcBorders>
          </w:tcPr>
          <w:p w14:paraId="4F89A8A2" w14:textId="77777777" w:rsidR="005A4E7A" w:rsidRDefault="005A4E7A" w:rsidP="0012096C">
            <w:pPr>
              <w:jc w:val="center"/>
              <w:rPr>
                <w:rFonts w:cs="Arial"/>
              </w:rPr>
            </w:pPr>
            <w:r>
              <w:rPr>
                <w:rFonts w:cs="Arial"/>
              </w:rPr>
              <w:t>18</w:t>
            </w:r>
          </w:p>
        </w:tc>
        <w:tc>
          <w:tcPr>
            <w:tcW w:w="2268" w:type="dxa"/>
            <w:tcBorders>
              <w:top w:val="dotted" w:sz="4" w:space="0" w:color="auto"/>
              <w:left w:val="dotted" w:sz="4" w:space="0" w:color="auto"/>
              <w:bottom w:val="dotted" w:sz="4" w:space="0" w:color="auto"/>
              <w:right w:val="dotted" w:sz="4" w:space="0" w:color="auto"/>
            </w:tcBorders>
          </w:tcPr>
          <w:p w14:paraId="6F172B9C" w14:textId="77777777" w:rsidR="005A4E7A" w:rsidRDefault="005A4E7A" w:rsidP="0012096C">
            <w:pPr>
              <w:rPr>
                <w:rFonts w:cs="Arial"/>
              </w:rPr>
            </w:pPr>
            <w:r>
              <w:rPr>
                <w:rFonts w:cs="Arial"/>
              </w:rPr>
              <w:t>TISAX</w:t>
            </w:r>
          </w:p>
        </w:tc>
        <w:tc>
          <w:tcPr>
            <w:tcW w:w="5954" w:type="dxa"/>
            <w:tcBorders>
              <w:top w:val="dotted" w:sz="4" w:space="0" w:color="auto"/>
              <w:left w:val="dotted" w:sz="4" w:space="0" w:color="auto"/>
              <w:bottom w:val="dotted" w:sz="4" w:space="0" w:color="auto"/>
              <w:right w:val="dotted" w:sz="4" w:space="0" w:color="auto"/>
            </w:tcBorders>
          </w:tcPr>
          <w:p w14:paraId="66F0FAED" w14:textId="77777777" w:rsidR="005A4E7A" w:rsidRDefault="005A4E7A" w:rsidP="0012096C">
            <w:pPr>
              <w:rPr>
                <w:rFonts w:cs="Arial"/>
              </w:rPr>
            </w:pPr>
            <w:r w:rsidRPr="003A3362">
              <w:rPr>
                <w:rFonts w:cs="Arial"/>
              </w:rPr>
              <w:t>Trusted information security assessment exchange</w:t>
            </w:r>
          </w:p>
        </w:tc>
      </w:tr>
      <w:tr w:rsidR="005A4E7A" w14:paraId="4CE7CECB"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6FF166D5" w14:textId="77777777" w:rsidR="005A4E7A" w:rsidRDefault="005A4E7A" w:rsidP="005A4E7A">
            <w:pPr>
              <w:jc w:val="center"/>
              <w:rPr>
                <w:rFonts w:cs="Arial"/>
              </w:rPr>
            </w:pPr>
            <w:r>
              <w:rPr>
                <w:rFonts w:cs="Arial"/>
              </w:rPr>
              <w:t>19</w:t>
            </w:r>
          </w:p>
        </w:tc>
        <w:tc>
          <w:tcPr>
            <w:tcW w:w="2268" w:type="dxa"/>
            <w:tcBorders>
              <w:top w:val="dotted" w:sz="4" w:space="0" w:color="auto"/>
              <w:left w:val="dotted" w:sz="4" w:space="0" w:color="auto"/>
              <w:bottom w:val="dotted" w:sz="4" w:space="0" w:color="auto"/>
              <w:right w:val="dotted" w:sz="4" w:space="0" w:color="auto"/>
            </w:tcBorders>
            <w:hideMark/>
          </w:tcPr>
          <w:p w14:paraId="1B02F77C" w14:textId="77777777" w:rsidR="005A4E7A" w:rsidRDefault="005A4E7A" w:rsidP="005A4E7A">
            <w:pPr>
              <w:rPr>
                <w:rFonts w:cs="Arial"/>
                <w:lang w:val="de-DE"/>
              </w:rPr>
            </w:pPr>
            <w:r>
              <w:rPr>
                <w:rFonts w:cs="Arial"/>
              </w:rPr>
              <w:t>BS10012: 2017</w:t>
            </w:r>
          </w:p>
        </w:tc>
        <w:tc>
          <w:tcPr>
            <w:tcW w:w="5954" w:type="dxa"/>
            <w:tcBorders>
              <w:top w:val="dotted" w:sz="4" w:space="0" w:color="auto"/>
              <w:left w:val="dotted" w:sz="4" w:space="0" w:color="auto"/>
              <w:bottom w:val="dotted" w:sz="4" w:space="0" w:color="auto"/>
              <w:right w:val="dotted" w:sz="4" w:space="0" w:color="auto"/>
            </w:tcBorders>
          </w:tcPr>
          <w:p w14:paraId="5BDD1E7F" w14:textId="77777777" w:rsidR="005A4E7A" w:rsidRDefault="005A4E7A" w:rsidP="005A4E7A">
            <w:pPr>
              <w:rPr>
                <w:rFonts w:cs="Arial"/>
              </w:rPr>
            </w:pPr>
            <w:r>
              <w:rPr>
                <w:rFonts w:cs="Arial"/>
              </w:rPr>
              <w:t>British Standard Personal Information Management System </w:t>
            </w:r>
          </w:p>
        </w:tc>
      </w:tr>
      <w:tr w:rsidR="005A4E7A" w14:paraId="59B36936"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73F527B8" w14:textId="77777777" w:rsidR="005A4E7A" w:rsidRDefault="005A4E7A" w:rsidP="0012096C">
            <w:pPr>
              <w:jc w:val="center"/>
              <w:rPr>
                <w:rFonts w:cs="Arial"/>
              </w:rPr>
            </w:pPr>
            <w:r>
              <w:rPr>
                <w:rFonts w:cs="Arial"/>
              </w:rPr>
              <w:t>20</w:t>
            </w:r>
          </w:p>
        </w:tc>
        <w:tc>
          <w:tcPr>
            <w:tcW w:w="2268" w:type="dxa"/>
            <w:tcBorders>
              <w:top w:val="dotted" w:sz="4" w:space="0" w:color="auto"/>
              <w:left w:val="dotted" w:sz="4" w:space="0" w:color="auto"/>
              <w:bottom w:val="dotted" w:sz="4" w:space="0" w:color="auto"/>
              <w:right w:val="dotted" w:sz="4" w:space="0" w:color="auto"/>
            </w:tcBorders>
          </w:tcPr>
          <w:p w14:paraId="1F01C637" w14:textId="77777777" w:rsidR="005A4E7A" w:rsidRDefault="005A4E7A" w:rsidP="0012096C">
            <w:pPr>
              <w:rPr>
                <w:rFonts w:cs="Arial"/>
              </w:rPr>
            </w:pPr>
          </w:p>
        </w:tc>
        <w:tc>
          <w:tcPr>
            <w:tcW w:w="5954" w:type="dxa"/>
            <w:tcBorders>
              <w:top w:val="dotted" w:sz="4" w:space="0" w:color="auto"/>
              <w:left w:val="dotted" w:sz="4" w:space="0" w:color="auto"/>
              <w:bottom w:val="dotted" w:sz="4" w:space="0" w:color="auto"/>
              <w:right w:val="dotted" w:sz="4" w:space="0" w:color="auto"/>
            </w:tcBorders>
            <w:hideMark/>
          </w:tcPr>
          <w:p w14:paraId="221DF5F0" w14:textId="77777777" w:rsidR="005A4E7A" w:rsidRDefault="005A4E7A" w:rsidP="0012096C">
            <w:pPr>
              <w:rPr>
                <w:rFonts w:cs="Arial"/>
                <w:color w:val="000000"/>
              </w:rPr>
            </w:pPr>
            <w:r>
              <w:rPr>
                <w:rFonts w:cs="Arial"/>
                <w:color w:val="000000"/>
              </w:rPr>
              <w:t>Vietnamese laws on Privacy:</w:t>
            </w:r>
          </w:p>
          <w:p w14:paraId="7270B660" w14:textId="77777777" w:rsidR="005A4E7A" w:rsidRDefault="005A4E7A" w:rsidP="0012096C">
            <w:pPr>
              <w:rPr>
                <w:rFonts w:cs="Arial"/>
                <w:color w:val="000000"/>
              </w:rPr>
            </w:pPr>
            <w:r>
              <w:rPr>
                <w:rFonts w:cs="Arial"/>
                <w:color w:val="000000"/>
              </w:rPr>
              <w:t>- Article 21 of the 2013 Constitution</w:t>
            </w:r>
          </w:p>
          <w:p w14:paraId="691177EF" w14:textId="77777777" w:rsidR="005A4E7A" w:rsidRDefault="005A4E7A" w:rsidP="0012096C">
            <w:pPr>
              <w:rPr>
                <w:rFonts w:cs="Arial"/>
                <w:color w:val="000000"/>
              </w:rPr>
            </w:pPr>
            <w:r>
              <w:rPr>
                <w:rFonts w:cs="Arial"/>
                <w:color w:val="000000"/>
              </w:rPr>
              <w:t>- Article 38 of the Civil Code 2015</w:t>
            </w:r>
          </w:p>
          <w:p w14:paraId="5E32FDCA" w14:textId="77777777" w:rsidR="005A4E7A" w:rsidRDefault="005A4E7A" w:rsidP="0012096C">
            <w:pPr>
              <w:rPr>
                <w:rFonts w:cs="Arial"/>
                <w:color w:val="000000"/>
              </w:rPr>
            </w:pPr>
            <w:r>
              <w:rPr>
                <w:rFonts w:cs="Arial"/>
                <w:color w:val="000000"/>
              </w:rPr>
              <w:t>- Article 125 of the Penal Code</w:t>
            </w:r>
          </w:p>
          <w:p w14:paraId="653F12C9" w14:textId="77777777" w:rsidR="005A4E7A" w:rsidRDefault="005A4E7A" w:rsidP="0012096C">
            <w:pPr>
              <w:rPr>
                <w:rFonts w:cs="Arial"/>
                <w:color w:val="000000"/>
              </w:rPr>
            </w:pPr>
            <w:r>
              <w:rPr>
                <w:rFonts w:cs="Arial"/>
                <w:color w:val="000000"/>
              </w:rPr>
              <w:t>- Clause 2 of Article 19 of the Labor Code</w:t>
            </w:r>
          </w:p>
          <w:p w14:paraId="3FC09225" w14:textId="3202FE13" w:rsidR="005A4E7A" w:rsidRDefault="005A4E7A" w:rsidP="0012096C">
            <w:pPr>
              <w:rPr>
                <w:rFonts w:cs="Arial"/>
                <w:color w:val="000000"/>
              </w:rPr>
            </w:pPr>
            <w:r w:rsidRPr="00AC0AF8">
              <w:rPr>
                <w:rFonts w:cs="Arial"/>
                <w:color w:val="000000"/>
              </w:rPr>
              <w:t xml:space="preserve">Decree of the Vietnamese Government: </w:t>
            </w:r>
            <w:r w:rsidRPr="00AC0AF8">
              <w:rPr>
                <w:rFonts w:cs="Arial"/>
                <w:color w:val="000000"/>
              </w:rPr>
              <w:br/>
            </w:r>
            <w:proofErr w:type="spellStart"/>
            <w:r w:rsidRPr="00AC0AF8">
              <w:rPr>
                <w:rFonts w:cs="Arial"/>
                <w:color w:val="000000"/>
              </w:rPr>
              <w:t>Nghị</w:t>
            </w:r>
            <w:proofErr w:type="spellEnd"/>
            <w:r w:rsidRPr="00AC0AF8">
              <w:rPr>
                <w:rFonts w:cs="Arial"/>
                <w:color w:val="000000"/>
              </w:rPr>
              <w:t xml:space="preserve"> </w:t>
            </w:r>
            <w:proofErr w:type="spellStart"/>
            <w:r w:rsidRPr="00AC0AF8">
              <w:rPr>
                <w:rFonts w:cs="Arial"/>
                <w:color w:val="000000"/>
              </w:rPr>
              <w:t>Định</w:t>
            </w:r>
            <w:proofErr w:type="spellEnd"/>
            <w:r w:rsidRPr="00AC0AF8">
              <w:rPr>
                <w:rFonts w:cs="Arial"/>
                <w:color w:val="000000"/>
              </w:rPr>
              <w:t xml:space="preserve"> </w:t>
            </w:r>
            <w:proofErr w:type="spellStart"/>
            <w:r w:rsidRPr="00AC0AF8">
              <w:rPr>
                <w:rFonts w:cs="Arial"/>
                <w:color w:val="000000"/>
              </w:rPr>
              <w:t>Quy</w:t>
            </w:r>
            <w:proofErr w:type="spellEnd"/>
            <w:r w:rsidRPr="00AC0AF8">
              <w:rPr>
                <w:rFonts w:cs="Arial"/>
                <w:color w:val="000000"/>
              </w:rPr>
              <w:t xml:space="preserve"> </w:t>
            </w:r>
            <w:proofErr w:type="spellStart"/>
            <w:r w:rsidRPr="00AC0AF8">
              <w:rPr>
                <w:rFonts w:cs="Arial"/>
                <w:color w:val="000000"/>
              </w:rPr>
              <w:t>Định</w:t>
            </w:r>
            <w:proofErr w:type="spellEnd"/>
            <w:r w:rsidRPr="00AC0AF8">
              <w:rPr>
                <w:rFonts w:cs="Arial"/>
                <w:color w:val="000000"/>
              </w:rPr>
              <w:t xml:space="preserve"> </w:t>
            </w:r>
            <w:proofErr w:type="spellStart"/>
            <w:r w:rsidRPr="00AC0AF8">
              <w:rPr>
                <w:rFonts w:cs="Arial"/>
                <w:color w:val="000000"/>
              </w:rPr>
              <w:t>Về</w:t>
            </w:r>
            <w:proofErr w:type="spellEnd"/>
            <w:r w:rsidRPr="00AC0AF8">
              <w:rPr>
                <w:rFonts w:cs="Arial"/>
                <w:color w:val="000000"/>
              </w:rPr>
              <w:t xml:space="preserve"> </w:t>
            </w:r>
            <w:proofErr w:type="spellStart"/>
            <w:r w:rsidRPr="00AC0AF8">
              <w:rPr>
                <w:rFonts w:cs="Arial"/>
                <w:color w:val="000000"/>
              </w:rPr>
              <w:t>Bảo</w:t>
            </w:r>
            <w:proofErr w:type="spellEnd"/>
            <w:r w:rsidRPr="00AC0AF8">
              <w:rPr>
                <w:rFonts w:cs="Arial"/>
                <w:color w:val="000000"/>
              </w:rPr>
              <w:t xml:space="preserve"> </w:t>
            </w:r>
            <w:proofErr w:type="spellStart"/>
            <w:r w:rsidRPr="00AC0AF8">
              <w:rPr>
                <w:rFonts w:cs="Arial"/>
                <w:color w:val="000000"/>
              </w:rPr>
              <w:t>Vệ</w:t>
            </w:r>
            <w:proofErr w:type="spellEnd"/>
            <w:r w:rsidRPr="00AC0AF8">
              <w:rPr>
                <w:rFonts w:cs="Arial"/>
                <w:color w:val="000000"/>
              </w:rPr>
              <w:t xml:space="preserve"> </w:t>
            </w:r>
            <w:proofErr w:type="spellStart"/>
            <w:r w:rsidRPr="00AC0AF8">
              <w:rPr>
                <w:rFonts w:cs="Arial"/>
                <w:color w:val="000000"/>
              </w:rPr>
              <w:t>Dữ</w:t>
            </w:r>
            <w:proofErr w:type="spellEnd"/>
            <w:r w:rsidRPr="00AC0AF8">
              <w:rPr>
                <w:rFonts w:cs="Arial"/>
                <w:color w:val="000000"/>
              </w:rPr>
              <w:t xml:space="preserve"> </w:t>
            </w:r>
            <w:proofErr w:type="spellStart"/>
            <w:r w:rsidRPr="00AC0AF8">
              <w:rPr>
                <w:rFonts w:cs="Arial"/>
                <w:color w:val="000000"/>
              </w:rPr>
              <w:t>Liệu</w:t>
            </w:r>
            <w:proofErr w:type="spellEnd"/>
            <w:r w:rsidRPr="00AC0AF8">
              <w:rPr>
                <w:rFonts w:cs="Arial"/>
                <w:color w:val="000000"/>
              </w:rPr>
              <w:t xml:space="preserve"> </w:t>
            </w:r>
            <w:proofErr w:type="spellStart"/>
            <w:r w:rsidRPr="00AC0AF8">
              <w:rPr>
                <w:rFonts w:cs="Arial"/>
                <w:color w:val="000000"/>
              </w:rPr>
              <w:t>Cá</w:t>
            </w:r>
            <w:proofErr w:type="spellEnd"/>
            <w:r w:rsidRPr="00AC0AF8">
              <w:rPr>
                <w:rFonts w:cs="Arial"/>
                <w:color w:val="000000"/>
              </w:rPr>
              <w:t xml:space="preserve"> </w:t>
            </w:r>
            <w:proofErr w:type="spellStart"/>
            <w:r w:rsidRPr="00AC0AF8">
              <w:rPr>
                <w:rFonts w:cs="Arial"/>
                <w:color w:val="000000"/>
              </w:rPr>
              <w:t>Nhân</w:t>
            </w:r>
            <w:proofErr w:type="spellEnd"/>
            <w:r>
              <w:rPr>
                <w:rFonts w:cs="Arial"/>
                <w:color w:val="000000"/>
              </w:rPr>
              <w:t xml:space="preserve">                    Still not in force</w:t>
            </w:r>
          </w:p>
        </w:tc>
      </w:tr>
      <w:tr w:rsidR="005A4E7A" w14:paraId="41B3FB97"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52D8194D" w14:textId="77777777" w:rsidR="005A4E7A" w:rsidRDefault="005A4E7A" w:rsidP="0012096C">
            <w:pPr>
              <w:jc w:val="center"/>
              <w:rPr>
                <w:rFonts w:cs="Arial"/>
              </w:rPr>
            </w:pPr>
            <w:r>
              <w:rPr>
                <w:rFonts w:cs="Arial"/>
              </w:rPr>
              <w:t>21</w:t>
            </w:r>
          </w:p>
        </w:tc>
        <w:tc>
          <w:tcPr>
            <w:tcW w:w="2268" w:type="dxa"/>
            <w:tcBorders>
              <w:top w:val="dotted" w:sz="4" w:space="0" w:color="auto"/>
              <w:left w:val="dotted" w:sz="4" w:space="0" w:color="auto"/>
              <w:bottom w:val="dotted" w:sz="4" w:space="0" w:color="auto"/>
              <w:right w:val="dotted" w:sz="4" w:space="0" w:color="auto"/>
            </w:tcBorders>
            <w:hideMark/>
          </w:tcPr>
          <w:p w14:paraId="474F9343" w14:textId="77777777" w:rsidR="005A4E7A" w:rsidRDefault="005A4E7A" w:rsidP="0012096C">
            <w:pPr>
              <w:rPr>
                <w:rFonts w:cs="Arial"/>
              </w:rPr>
            </w:pPr>
            <w:r>
              <w:rPr>
                <w:rFonts w:cs="Arial"/>
              </w:rPr>
              <w:t>FPT Software Personal Data Protection Handbook</w:t>
            </w:r>
          </w:p>
        </w:tc>
        <w:tc>
          <w:tcPr>
            <w:tcW w:w="5954" w:type="dxa"/>
            <w:tcBorders>
              <w:top w:val="dotted" w:sz="4" w:space="0" w:color="auto"/>
              <w:left w:val="dotted" w:sz="4" w:space="0" w:color="auto"/>
              <w:bottom w:val="dotted" w:sz="4" w:space="0" w:color="auto"/>
              <w:right w:val="dotted" w:sz="4" w:space="0" w:color="auto"/>
            </w:tcBorders>
            <w:hideMark/>
          </w:tcPr>
          <w:p w14:paraId="52D14795" w14:textId="77777777" w:rsidR="005A4E7A" w:rsidRDefault="005A4E7A" w:rsidP="0012096C">
            <w:pPr>
              <w:rPr>
                <w:rFonts w:cs="Arial"/>
                <w:color w:val="000000"/>
              </w:rPr>
            </w:pPr>
            <w:r>
              <w:rPr>
                <w:rFonts w:cs="Arial"/>
                <w:color w:val="000000"/>
              </w:rPr>
              <w:t>PDP_ Handbook_Version_V3.3</w:t>
            </w:r>
          </w:p>
        </w:tc>
      </w:tr>
      <w:tr w:rsidR="005A4E7A" w:rsidRPr="008114CC" w14:paraId="706BCB27" w14:textId="77777777" w:rsidTr="0012096C">
        <w:tc>
          <w:tcPr>
            <w:tcW w:w="1163" w:type="dxa"/>
            <w:tcBorders>
              <w:top w:val="dotted" w:sz="4" w:space="0" w:color="auto"/>
              <w:left w:val="dotted" w:sz="4" w:space="0" w:color="auto"/>
              <w:bottom w:val="dotted" w:sz="4" w:space="0" w:color="auto"/>
              <w:right w:val="dotted" w:sz="4" w:space="0" w:color="auto"/>
            </w:tcBorders>
            <w:hideMark/>
          </w:tcPr>
          <w:p w14:paraId="30C7AF3E" w14:textId="77777777" w:rsidR="005A4E7A" w:rsidRDefault="005A4E7A" w:rsidP="0012096C">
            <w:pPr>
              <w:jc w:val="center"/>
              <w:rPr>
                <w:rFonts w:cs="Arial"/>
              </w:rPr>
            </w:pPr>
            <w:r>
              <w:rPr>
                <w:rFonts w:cs="Arial"/>
              </w:rPr>
              <w:t>22</w:t>
            </w:r>
          </w:p>
        </w:tc>
        <w:tc>
          <w:tcPr>
            <w:tcW w:w="2268" w:type="dxa"/>
            <w:tcBorders>
              <w:top w:val="dotted" w:sz="4" w:space="0" w:color="auto"/>
              <w:left w:val="dotted" w:sz="4" w:space="0" w:color="auto"/>
              <w:bottom w:val="dotted" w:sz="4" w:space="0" w:color="auto"/>
              <w:right w:val="dotted" w:sz="4" w:space="0" w:color="auto"/>
            </w:tcBorders>
            <w:hideMark/>
          </w:tcPr>
          <w:p w14:paraId="779A99C3" w14:textId="77777777" w:rsidR="005A4E7A" w:rsidRPr="00D3376D" w:rsidRDefault="005A4E7A" w:rsidP="005A4E7A">
            <w:pPr>
              <w:rPr>
                <w:rFonts w:cs="Arial"/>
              </w:rPr>
            </w:pPr>
            <w:r w:rsidRPr="00840306">
              <w:rPr>
                <w:rFonts w:cs="Arial"/>
              </w:rPr>
              <w:t>05e-HD/SG/HDCV/FSOFT</w:t>
            </w:r>
          </w:p>
        </w:tc>
        <w:tc>
          <w:tcPr>
            <w:tcW w:w="5954" w:type="dxa"/>
            <w:tcBorders>
              <w:top w:val="dotted" w:sz="4" w:space="0" w:color="auto"/>
              <w:left w:val="dotted" w:sz="4" w:space="0" w:color="auto"/>
              <w:bottom w:val="dotted" w:sz="4" w:space="0" w:color="auto"/>
              <w:right w:val="dotted" w:sz="4" w:space="0" w:color="auto"/>
            </w:tcBorders>
            <w:hideMark/>
          </w:tcPr>
          <w:p w14:paraId="0109CF8B" w14:textId="77777777" w:rsidR="005A4E7A" w:rsidRPr="00D3376D" w:rsidRDefault="005A4E7A" w:rsidP="005A4E7A">
            <w:pPr>
              <w:rPr>
                <w:rFonts w:cs="Arial"/>
                <w:color w:val="000000"/>
              </w:rPr>
            </w:pPr>
            <w:proofErr w:type="spellStart"/>
            <w:r>
              <w:rPr>
                <w:rFonts w:cs="Arial"/>
                <w:color w:val="000000"/>
              </w:rPr>
              <w:t>P</w:t>
            </w:r>
            <w:r w:rsidRPr="00F41313">
              <w:rPr>
                <w:rFonts w:cs="Arial"/>
                <w:color w:val="000000"/>
              </w:rPr>
              <w:t>rocedure_Retention</w:t>
            </w:r>
            <w:proofErr w:type="spellEnd"/>
            <w:r w:rsidRPr="00F41313">
              <w:rPr>
                <w:rFonts w:cs="Arial"/>
                <w:color w:val="000000"/>
              </w:rPr>
              <w:t xml:space="preserve"> of Records_V1.</w:t>
            </w:r>
            <w:r>
              <w:rPr>
                <w:rFonts w:cs="Arial"/>
                <w:color w:val="000000"/>
              </w:rPr>
              <w:t>1</w:t>
            </w:r>
            <w:r>
              <w:rPr>
                <w:rFonts w:cs="Arial"/>
                <w:color w:val="000000"/>
              </w:rPr>
              <w:br/>
            </w:r>
            <w:proofErr w:type="spellStart"/>
            <w:r w:rsidRPr="002F4D58">
              <w:rPr>
                <w:rFonts w:cs="Arial"/>
                <w:color w:val="000000"/>
              </w:rPr>
              <w:t>Guideline_Personal</w:t>
            </w:r>
            <w:proofErr w:type="spellEnd"/>
            <w:r w:rsidRPr="002F4D58">
              <w:rPr>
                <w:rFonts w:cs="Arial"/>
                <w:color w:val="000000"/>
              </w:rPr>
              <w:t xml:space="preserve"> Data Retention_v3.</w:t>
            </w:r>
            <w:r>
              <w:rPr>
                <w:rFonts w:cs="Arial"/>
                <w:color w:val="000000"/>
              </w:rPr>
              <w:t>3</w:t>
            </w:r>
          </w:p>
        </w:tc>
      </w:tr>
    </w:tbl>
    <w:p w14:paraId="725D9831" w14:textId="77777777" w:rsidR="005A4E7A" w:rsidRDefault="005A4E7A" w:rsidP="005A4E7A"/>
    <w:p w14:paraId="0BA4934E" w14:textId="77777777" w:rsidR="005A4E7A" w:rsidRPr="00375904" w:rsidRDefault="005A4E7A" w:rsidP="005A4E7A">
      <w:pPr>
        <w:pStyle w:val="BodyText"/>
        <w:rPr>
          <w:rFonts w:cs="Arial"/>
        </w:rPr>
      </w:pPr>
    </w:p>
    <w:p w14:paraId="43B3C26B" w14:textId="77777777" w:rsidR="005A4E7A" w:rsidRDefault="005A4E7A" w:rsidP="005A4E7A">
      <w:pPr>
        <w:pStyle w:val="Heading2"/>
        <w:numPr>
          <w:ilvl w:val="0"/>
          <w:numId w:val="0"/>
        </w:numPr>
        <w:ind w:left="576" w:hanging="576"/>
      </w:pPr>
      <w:bookmarkStart w:id="33" w:name="_Toc116390343"/>
      <w:bookmarkStart w:id="34" w:name="_Toc117496759"/>
      <w:bookmarkStart w:id="35" w:name="_Toc117583932"/>
      <w:bookmarkStart w:id="36" w:name="_Toc117593905"/>
      <w:r>
        <w:t>3.3</w:t>
      </w:r>
      <w:r>
        <w:tab/>
        <w:t>Data Protection Law, Vietnam, Overview</w:t>
      </w:r>
      <w:bookmarkEnd w:id="33"/>
      <w:bookmarkEnd w:id="34"/>
      <w:bookmarkEnd w:id="35"/>
      <w:bookmarkEnd w:id="36"/>
    </w:p>
    <w:p w14:paraId="62366DB8" w14:textId="77777777" w:rsidR="005A4E7A" w:rsidRPr="00784236" w:rsidRDefault="005A4E7A" w:rsidP="002F5650">
      <w:pPr>
        <w:pStyle w:val="BodyText"/>
        <w:jc w:val="both"/>
      </w:pPr>
      <w:r w:rsidRPr="00784236">
        <w:rPr>
          <w:rFonts w:hint="cs"/>
        </w:rPr>
        <w:t xml:space="preserve">There is </w:t>
      </w:r>
      <w:r>
        <w:t xml:space="preserve">no single </w:t>
      </w:r>
      <w:r w:rsidRPr="00784236">
        <w:rPr>
          <w:rFonts w:hint="cs"/>
        </w:rPr>
        <w:t xml:space="preserve">data protection law in Vietnam. </w:t>
      </w:r>
      <w:r>
        <w:t>R</w:t>
      </w:r>
      <w:r w:rsidRPr="00784236">
        <w:rPr>
          <w:rFonts w:hint="cs"/>
        </w:rPr>
        <w:t>egulations on data protection and privacy can be found in various legal instruments. The right of privacy and right of reputation, dignity and honour and fundamental principles of such rights are currently provided for in Constitution 2013 (“</w:t>
      </w:r>
      <w:r w:rsidRPr="00784236">
        <w:rPr>
          <w:rFonts w:hint="cs"/>
          <w:b/>
          <w:bCs/>
        </w:rPr>
        <w:t>Constitution</w:t>
      </w:r>
      <w:r w:rsidRPr="00784236">
        <w:rPr>
          <w:rFonts w:hint="cs"/>
        </w:rPr>
        <w:t>”) and Civil Code 2015 (“</w:t>
      </w:r>
      <w:r w:rsidRPr="00784236">
        <w:rPr>
          <w:rFonts w:hint="cs"/>
          <w:b/>
          <w:bCs/>
        </w:rPr>
        <w:t>Civil Code</w:t>
      </w:r>
      <w:r w:rsidRPr="00784236">
        <w:rPr>
          <w:rFonts w:hint="cs"/>
        </w:rPr>
        <w:t>”) as inviolable and protected by law.</w:t>
      </w:r>
    </w:p>
    <w:p w14:paraId="5D1C066E" w14:textId="3ADE30CF" w:rsidR="005A4E7A" w:rsidRPr="00784236" w:rsidRDefault="005A4E7A" w:rsidP="002F5650">
      <w:pPr>
        <w:pStyle w:val="BodyText"/>
        <w:jc w:val="both"/>
      </w:pPr>
      <w:r w:rsidRPr="00784236">
        <w:rPr>
          <w:rFonts w:hint="cs"/>
        </w:rPr>
        <w:t xml:space="preserve">Regarding personal </w:t>
      </w:r>
      <w:r>
        <w:t>data</w:t>
      </w:r>
      <w:r w:rsidRPr="00784236">
        <w:rPr>
          <w:rFonts w:hint="cs"/>
        </w:rPr>
        <w:t xml:space="preserve">, the </w:t>
      </w:r>
      <w:r>
        <w:t>guiding</w:t>
      </w:r>
      <w:r w:rsidRPr="00784236">
        <w:rPr>
          <w:rFonts w:hint="cs"/>
        </w:rPr>
        <w:t xml:space="preserve"> principles on collection, storage, use, process, disclosure or transfer of personal information are specified in the following main laws and documents:</w:t>
      </w:r>
    </w:p>
    <w:p w14:paraId="172F9AF5" w14:textId="77777777" w:rsidR="005A4E7A" w:rsidRPr="00784236" w:rsidRDefault="005A4E7A" w:rsidP="002F5650">
      <w:pPr>
        <w:pStyle w:val="BodyText"/>
        <w:numPr>
          <w:ilvl w:val="0"/>
          <w:numId w:val="38"/>
        </w:numPr>
        <w:spacing w:after="0"/>
        <w:jc w:val="both"/>
      </w:pPr>
      <w:r w:rsidRPr="00784236">
        <w:rPr>
          <w:rFonts w:hint="cs"/>
          <w:b/>
          <w:bCs/>
        </w:rPr>
        <w:t>Criminal Code</w:t>
      </w:r>
      <w:r w:rsidRPr="00784236">
        <w:rPr>
          <w:rFonts w:hint="cs"/>
        </w:rPr>
        <w:t xml:space="preserve"> No. 100/2015/QH13, passed by the National Assembly on 27 November 2015</w:t>
      </w:r>
    </w:p>
    <w:p w14:paraId="18585930" w14:textId="77777777" w:rsidR="005A4E7A" w:rsidRPr="00784236" w:rsidRDefault="005A4E7A" w:rsidP="002F5650">
      <w:pPr>
        <w:pStyle w:val="BodyText"/>
        <w:numPr>
          <w:ilvl w:val="0"/>
          <w:numId w:val="38"/>
        </w:numPr>
        <w:spacing w:after="0"/>
        <w:jc w:val="both"/>
      </w:pPr>
      <w:r w:rsidRPr="00784236">
        <w:rPr>
          <w:rFonts w:hint="cs"/>
        </w:rPr>
        <w:t>Law No. 24/2018/QH14 on Cybersecurity, passed by the National Assembly on 12 June 2018 (“</w:t>
      </w:r>
      <w:r w:rsidRPr="00784236">
        <w:rPr>
          <w:rFonts w:hint="cs"/>
          <w:b/>
          <w:bCs/>
        </w:rPr>
        <w:t>Cybersecurity Law</w:t>
      </w:r>
      <w:r w:rsidRPr="00784236">
        <w:rPr>
          <w:rFonts w:hint="cs"/>
        </w:rPr>
        <w:t>”);</w:t>
      </w:r>
    </w:p>
    <w:p w14:paraId="1062320D" w14:textId="77777777" w:rsidR="005A4E7A" w:rsidRPr="00784236" w:rsidRDefault="005A4E7A" w:rsidP="002F5650">
      <w:pPr>
        <w:pStyle w:val="BodyText"/>
        <w:numPr>
          <w:ilvl w:val="0"/>
          <w:numId w:val="38"/>
        </w:numPr>
        <w:spacing w:after="0"/>
        <w:jc w:val="both"/>
      </w:pPr>
      <w:r w:rsidRPr="00784236">
        <w:rPr>
          <w:rFonts w:hint="cs"/>
        </w:rPr>
        <w:t xml:space="preserve">Law No. 86/2015/QH13 on Network Information Security, passed by the National Assembly on 19 November 2015; as amended by Law No. 35/2018/QH14 dated 20 November 2018, on </w:t>
      </w:r>
      <w:r w:rsidRPr="00784236">
        <w:rPr>
          <w:rFonts w:hint="cs"/>
        </w:rPr>
        <w:lastRenderedPageBreak/>
        <w:t>amendments to some articles concerning planning of 37 Laws (“</w:t>
      </w:r>
      <w:r w:rsidRPr="00784236">
        <w:rPr>
          <w:rFonts w:hint="cs"/>
          <w:b/>
          <w:bCs/>
        </w:rPr>
        <w:t>Network Information Security Law</w:t>
      </w:r>
      <w:r w:rsidRPr="00784236">
        <w:rPr>
          <w:rFonts w:hint="cs"/>
        </w:rPr>
        <w:t>”);</w:t>
      </w:r>
    </w:p>
    <w:p w14:paraId="2226C543" w14:textId="77777777" w:rsidR="005A4E7A" w:rsidRPr="00784236" w:rsidRDefault="005A4E7A" w:rsidP="005A4E7A">
      <w:pPr>
        <w:pStyle w:val="BodyText"/>
        <w:numPr>
          <w:ilvl w:val="0"/>
          <w:numId w:val="38"/>
        </w:numPr>
        <w:spacing w:after="0"/>
        <w:jc w:val="both"/>
      </w:pPr>
      <w:r w:rsidRPr="00784236">
        <w:rPr>
          <w:rFonts w:hint="cs"/>
        </w:rPr>
        <w:t>Law No. 59/2010/QH12 on Protection of Consumers’ Rights, passed by the National Assembly on 17 November 2010; as amended by Law No.35/2018/QH14 dated 20 November 2018, on amendments to some articles concerning planning of 37 Laws (“</w:t>
      </w:r>
      <w:r w:rsidRPr="00784236">
        <w:rPr>
          <w:rFonts w:hint="cs"/>
          <w:b/>
          <w:bCs/>
        </w:rPr>
        <w:t>CRPL</w:t>
      </w:r>
      <w:r w:rsidRPr="00784236">
        <w:rPr>
          <w:rFonts w:hint="cs"/>
        </w:rPr>
        <w:t>”);</w:t>
      </w:r>
    </w:p>
    <w:p w14:paraId="446A5915" w14:textId="77777777" w:rsidR="005A4E7A" w:rsidRPr="00784236" w:rsidRDefault="005A4E7A" w:rsidP="005A4E7A">
      <w:pPr>
        <w:pStyle w:val="BodyText"/>
        <w:numPr>
          <w:ilvl w:val="0"/>
          <w:numId w:val="38"/>
        </w:numPr>
        <w:spacing w:after="0"/>
        <w:jc w:val="both"/>
      </w:pPr>
      <w:r w:rsidRPr="00784236">
        <w:rPr>
          <w:rFonts w:hint="cs"/>
        </w:rPr>
        <w:t>Law No. 67/2006/QH11 on Information Technology, passed by the National Assembly on 29 June 2006; as amended by Law No. 21/2017/QH14 dated 14 November 2017 on planning (“</w:t>
      </w:r>
      <w:r w:rsidRPr="00784236">
        <w:rPr>
          <w:rFonts w:hint="cs"/>
          <w:b/>
          <w:bCs/>
        </w:rPr>
        <w:t>IT Law</w:t>
      </w:r>
      <w:r w:rsidRPr="00784236">
        <w:rPr>
          <w:rFonts w:hint="cs"/>
        </w:rPr>
        <w:t>”);</w:t>
      </w:r>
    </w:p>
    <w:p w14:paraId="3EE847E1" w14:textId="77777777" w:rsidR="005A4E7A" w:rsidRPr="00784236" w:rsidRDefault="005A4E7A" w:rsidP="005A4E7A">
      <w:pPr>
        <w:pStyle w:val="BodyText"/>
        <w:numPr>
          <w:ilvl w:val="0"/>
          <w:numId w:val="38"/>
        </w:numPr>
        <w:spacing w:after="0"/>
        <w:jc w:val="both"/>
      </w:pPr>
      <w:r w:rsidRPr="00784236">
        <w:rPr>
          <w:rFonts w:hint="cs"/>
        </w:rPr>
        <w:t>Law No. 51/2005/QH11 on E-transactions, passed by the National Assembly on 29 November 2005 (“</w:t>
      </w:r>
      <w:r w:rsidRPr="00784236">
        <w:rPr>
          <w:rFonts w:hint="cs"/>
          <w:b/>
          <w:bCs/>
        </w:rPr>
        <w:t>E-transactions Law</w:t>
      </w:r>
      <w:r w:rsidRPr="00784236">
        <w:rPr>
          <w:rFonts w:hint="cs"/>
        </w:rPr>
        <w:t>”);</w:t>
      </w:r>
    </w:p>
    <w:p w14:paraId="701A66FD" w14:textId="77777777" w:rsidR="005A4E7A" w:rsidRPr="00784236" w:rsidRDefault="005A4E7A" w:rsidP="005A4E7A">
      <w:pPr>
        <w:pStyle w:val="BodyText"/>
        <w:numPr>
          <w:ilvl w:val="0"/>
          <w:numId w:val="38"/>
        </w:numPr>
        <w:spacing w:after="0"/>
        <w:jc w:val="both"/>
      </w:pPr>
      <w:r w:rsidRPr="00784236">
        <w:rPr>
          <w:rFonts w:hint="cs"/>
        </w:rPr>
        <w:t>Decree No. 85/2016/ND-CP dated 1 July 2016, on the security of information systems by classification (“</w:t>
      </w:r>
      <w:r w:rsidRPr="00784236">
        <w:rPr>
          <w:rFonts w:hint="cs"/>
          <w:b/>
          <w:bCs/>
        </w:rPr>
        <w:t>Decree 85</w:t>
      </w:r>
      <w:r w:rsidRPr="00784236">
        <w:rPr>
          <w:rFonts w:hint="cs"/>
        </w:rPr>
        <w:t>”);</w:t>
      </w:r>
    </w:p>
    <w:p w14:paraId="3FEDF976" w14:textId="54E4D25F" w:rsidR="005A4E7A" w:rsidRPr="00784236" w:rsidRDefault="005A4E7A" w:rsidP="005A4E7A">
      <w:pPr>
        <w:pStyle w:val="BodyText"/>
        <w:numPr>
          <w:ilvl w:val="0"/>
          <w:numId w:val="38"/>
        </w:numPr>
        <w:spacing w:after="0"/>
        <w:jc w:val="both"/>
      </w:pPr>
      <w:r w:rsidRPr="00784236">
        <w:rPr>
          <w:rFonts w:hint="cs"/>
        </w:rPr>
        <w:t>Decree No. 72/2013/ND-CP dated 15 July 2013 of the Government, on management, provision and use of Internet services and online information as amended by Decree No. 27/2018/ND-CP dated 1 March 2018 and Decree No.150/2018/ND-CP dated 7 November 2018 (“</w:t>
      </w:r>
      <w:r w:rsidRPr="00784236">
        <w:rPr>
          <w:rFonts w:hint="cs"/>
          <w:b/>
          <w:bCs/>
        </w:rPr>
        <w:t>Decree 72</w:t>
      </w:r>
      <w:r w:rsidRPr="00784236">
        <w:rPr>
          <w:rFonts w:hint="cs"/>
        </w:rPr>
        <w:t>”);</w:t>
      </w:r>
    </w:p>
    <w:p w14:paraId="2787FFF5" w14:textId="77777777" w:rsidR="005A4E7A" w:rsidRPr="00784236" w:rsidRDefault="005A4E7A" w:rsidP="005A4E7A">
      <w:pPr>
        <w:pStyle w:val="BodyText"/>
        <w:numPr>
          <w:ilvl w:val="0"/>
          <w:numId w:val="38"/>
        </w:numPr>
        <w:spacing w:after="0"/>
        <w:jc w:val="both"/>
      </w:pPr>
      <w:r w:rsidRPr="00784236">
        <w:rPr>
          <w:rFonts w:hint="cs"/>
        </w:rPr>
        <w:t>Decree No. 52/2013/ND-CP dated 16 May 2013 of the Government; as amended by Decree No. 08/2018/ND-CP dated 15 January 2018, on amendments to certain Decrees related to business conditions under state management of the Ministry of Industry and Trade and Decree No. 85/2021/ND-CP dated 25 September 2021 (“</w:t>
      </w:r>
      <w:r w:rsidRPr="00784236">
        <w:rPr>
          <w:rFonts w:hint="cs"/>
          <w:b/>
          <w:bCs/>
        </w:rPr>
        <w:t>Decree 52</w:t>
      </w:r>
      <w:r w:rsidRPr="00784236">
        <w:rPr>
          <w:rFonts w:hint="cs"/>
        </w:rPr>
        <w:t>”);</w:t>
      </w:r>
    </w:p>
    <w:p w14:paraId="2773168C" w14:textId="77777777" w:rsidR="005A4E7A" w:rsidRPr="00784236" w:rsidRDefault="005A4E7A" w:rsidP="005A4E7A">
      <w:pPr>
        <w:pStyle w:val="BodyText"/>
        <w:numPr>
          <w:ilvl w:val="0"/>
          <w:numId w:val="38"/>
        </w:numPr>
        <w:spacing w:after="0"/>
        <w:jc w:val="both"/>
      </w:pPr>
      <w:r w:rsidRPr="00784236">
        <w:rPr>
          <w:rFonts w:hint="cs"/>
        </w:rPr>
        <w:t>Decree No. 15/2020/ND-CP of the Government dated 3 February 2020 on penalties for administrative violations against regulations on postal services, telecommunications, radio frequencies, information technology and electronic transactions (“</w:t>
      </w:r>
      <w:r w:rsidRPr="00784236">
        <w:rPr>
          <w:rFonts w:hint="cs"/>
          <w:b/>
          <w:bCs/>
        </w:rPr>
        <w:t>Decree 15</w:t>
      </w:r>
      <w:r w:rsidRPr="00784236">
        <w:rPr>
          <w:rFonts w:hint="cs"/>
        </w:rPr>
        <w:t>”);</w:t>
      </w:r>
    </w:p>
    <w:p w14:paraId="0534C9B6" w14:textId="77777777" w:rsidR="005A4E7A" w:rsidRPr="00784236" w:rsidRDefault="005A4E7A" w:rsidP="005A4E7A">
      <w:pPr>
        <w:pStyle w:val="BodyText"/>
        <w:numPr>
          <w:ilvl w:val="0"/>
          <w:numId w:val="38"/>
        </w:numPr>
        <w:spacing w:after="0"/>
        <w:jc w:val="both"/>
      </w:pPr>
      <w:r w:rsidRPr="00784236">
        <w:rPr>
          <w:rFonts w:hint="cs"/>
        </w:rPr>
        <w:t>Circular No. 03/2017/TT-BTTTT of the Ministry of Information and Communications dated 24 April 2017 on guidelines for Decree 85 (“</w:t>
      </w:r>
      <w:r w:rsidRPr="00784236">
        <w:rPr>
          <w:rFonts w:hint="cs"/>
          <w:b/>
          <w:bCs/>
        </w:rPr>
        <w:t>Circular 03</w:t>
      </w:r>
      <w:r w:rsidRPr="00784236">
        <w:rPr>
          <w:rFonts w:hint="cs"/>
        </w:rPr>
        <w:t>”);</w:t>
      </w:r>
    </w:p>
    <w:p w14:paraId="552AFE38" w14:textId="77777777" w:rsidR="005A4E7A" w:rsidRPr="00784236" w:rsidRDefault="005A4E7A" w:rsidP="005A4E7A">
      <w:pPr>
        <w:pStyle w:val="BodyText"/>
        <w:numPr>
          <w:ilvl w:val="0"/>
          <w:numId w:val="38"/>
        </w:numPr>
        <w:spacing w:after="0"/>
        <w:jc w:val="both"/>
      </w:pPr>
      <w:r w:rsidRPr="00784236">
        <w:rPr>
          <w:rFonts w:hint="cs"/>
        </w:rPr>
        <w:t>Circular No. 20/2017/TT-BTTTT dated 12 September 2017 of the Ministry of Information and Communications, providing for Regulations on coordinating and responding to information security incidents nationwide (“</w:t>
      </w:r>
      <w:r w:rsidRPr="00784236">
        <w:rPr>
          <w:rFonts w:hint="cs"/>
          <w:b/>
          <w:bCs/>
        </w:rPr>
        <w:t>Circular 20</w:t>
      </w:r>
      <w:r w:rsidRPr="00784236">
        <w:rPr>
          <w:rFonts w:hint="cs"/>
        </w:rPr>
        <w:t>”);</w:t>
      </w:r>
    </w:p>
    <w:p w14:paraId="6D677F89" w14:textId="77777777" w:rsidR="005A4E7A" w:rsidRPr="00784236" w:rsidRDefault="005A4E7A" w:rsidP="005A4E7A">
      <w:pPr>
        <w:pStyle w:val="BodyText"/>
        <w:numPr>
          <w:ilvl w:val="0"/>
          <w:numId w:val="38"/>
        </w:numPr>
        <w:spacing w:after="0"/>
        <w:jc w:val="both"/>
      </w:pPr>
      <w:r w:rsidRPr="00784236">
        <w:rPr>
          <w:rFonts w:hint="cs"/>
        </w:rPr>
        <w:t>Circular No. 38/2016/TT-BTTTT dated 26 December 2016 of the Ministry of Information and Communications, detailing cross-border provision of public information (“</w:t>
      </w:r>
      <w:r w:rsidRPr="00784236">
        <w:rPr>
          <w:rFonts w:hint="cs"/>
          <w:b/>
          <w:bCs/>
        </w:rPr>
        <w:t>Circular 38</w:t>
      </w:r>
      <w:r w:rsidRPr="00784236">
        <w:rPr>
          <w:rFonts w:hint="cs"/>
        </w:rPr>
        <w:t>”);</w:t>
      </w:r>
    </w:p>
    <w:p w14:paraId="369498C4" w14:textId="77777777" w:rsidR="005A4E7A" w:rsidRPr="00784236" w:rsidRDefault="005A4E7A" w:rsidP="005A4E7A">
      <w:pPr>
        <w:pStyle w:val="BodyText"/>
        <w:numPr>
          <w:ilvl w:val="0"/>
          <w:numId w:val="38"/>
        </w:numPr>
        <w:spacing w:after="0"/>
        <w:jc w:val="both"/>
      </w:pPr>
      <w:r w:rsidRPr="00784236">
        <w:rPr>
          <w:rFonts w:hint="cs"/>
        </w:rPr>
        <w:t>Circular No. 24/2015/TT-BTTTT dated 18 August 2015 of the Ministry of Information and Communications, providing for the management and use of Internet resources, as amended by Circular No. 06/2019/TT-BTTTT dated 19 July 2019 (“</w:t>
      </w:r>
      <w:r w:rsidRPr="00784236">
        <w:rPr>
          <w:rFonts w:hint="cs"/>
          <w:b/>
          <w:bCs/>
        </w:rPr>
        <w:t>Circular 25</w:t>
      </w:r>
      <w:r w:rsidRPr="00784236">
        <w:rPr>
          <w:rFonts w:hint="cs"/>
        </w:rPr>
        <w:t>”); and</w:t>
      </w:r>
    </w:p>
    <w:p w14:paraId="7DB5638D" w14:textId="77777777" w:rsidR="005A4E7A" w:rsidRPr="00784236" w:rsidRDefault="005A4E7A" w:rsidP="002F5650">
      <w:pPr>
        <w:pStyle w:val="BodyText"/>
        <w:numPr>
          <w:ilvl w:val="0"/>
          <w:numId w:val="38"/>
        </w:numPr>
        <w:spacing w:after="0"/>
        <w:jc w:val="both"/>
      </w:pPr>
      <w:r w:rsidRPr="00784236">
        <w:rPr>
          <w:rFonts w:hint="cs"/>
        </w:rPr>
        <w:t>Decision No. 05/2017/QD-TTg of the Prime Minister dated 16 March 2017 on emergency response plans to ensure national cyber-information security (“</w:t>
      </w:r>
      <w:r w:rsidRPr="00784236">
        <w:rPr>
          <w:rFonts w:hint="cs"/>
          <w:b/>
          <w:bCs/>
        </w:rPr>
        <w:t>Decision 05</w:t>
      </w:r>
      <w:r w:rsidRPr="00784236">
        <w:rPr>
          <w:rFonts w:hint="cs"/>
        </w:rPr>
        <w:t>”).</w:t>
      </w:r>
    </w:p>
    <w:p w14:paraId="32B91BF3" w14:textId="77777777" w:rsidR="005A4E7A" w:rsidRPr="00784236" w:rsidRDefault="005A4E7A" w:rsidP="002F5650">
      <w:pPr>
        <w:pStyle w:val="BodyText"/>
        <w:jc w:val="both"/>
      </w:pPr>
      <w:r>
        <w:t>A</w:t>
      </w:r>
      <w:r w:rsidRPr="00784236">
        <w:rPr>
          <w:rFonts w:hint="cs"/>
        </w:rPr>
        <w:t xml:space="preserve">pplicability of </w:t>
      </w:r>
      <w:r>
        <w:t xml:space="preserve">the </w:t>
      </w:r>
      <w:r w:rsidRPr="00784236">
        <w:rPr>
          <w:rFonts w:hint="cs"/>
        </w:rPr>
        <w:t>legal documents will depend on the factual context of each case, e.g businesses in the banking and finance, education, healthcare sectors may be subject to specialized data protection regulations, not to mention to regulations on employees’ personal information as provided in Labour Code 2019 (“</w:t>
      </w:r>
      <w:r w:rsidRPr="00784236">
        <w:rPr>
          <w:rFonts w:hint="cs"/>
          <w:b/>
          <w:bCs/>
        </w:rPr>
        <w:t>Labour Code</w:t>
      </w:r>
      <w:r w:rsidRPr="00784236">
        <w:rPr>
          <w:rFonts w:hint="cs"/>
        </w:rPr>
        <w:t>”).</w:t>
      </w:r>
    </w:p>
    <w:p w14:paraId="0271F958" w14:textId="77777777" w:rsidR="005A4E7A" w:rsidRPr="00784236" w:rsidRDefault="005A4E7A" w:rsidP="000A77A8">
      <w:pPr>
        <w:pStyle w:val="BodyText"/>
        <w:jc w:val="both"/>
      </w:pPr>
      <w:r w:rsidRPr="00784236">
        <w:rPr>
          <w:rFonts w:hint="cs"/>
        </w:rPr>
        <w:lastRenderedPageBreak/>
        <w:t xml:space="preserve">The most important Vietnamese legal documents regulating data protection are the Cybersecurity Law and Network Information Security Law. </w:t>
      </w:r>
      <w:r>
        <w:t>C</w:t>
      </w:r>
      <w:r w:rsidRPr="00784236">
        <w:rPr>
          <w:rFonts w:hint="cs"/>
        </w:rPr>
        <w:t xml:space="preserve">ybersecurity laws in other jurisdictions that were inspired by the GDPR of the EU, the Cybersecurity Law of Vietnam shares similarities with China’s Cybersecurity Law enacted in 2017. </w:t>
      </w:r>
      <w:r>
        <w:t xml:space="preserve">The </w:t>
      </w:r>
      <w:r w:rsidRPr="00784236">
        <w:rPr>
          <w:rFonts w:hint="cs"/>
        </w:rPr>
        <w:t>law focuses on providing the government with the ability to control the flow of information</w:t>
      </w:r>
      <w:r>
        <w:t>. T</w:t>
      </w:r>
      <w:r w:rsidRPr="00784236">
        <w:rPr>
          <w:rFonts w:hint="cs"/>
        </w:rPr>
        <w:t>he Network Information Security Law enforces data privacy rights for individual data subjects.</w:t>
      </w:r>
    </w:p>
    <w:p w14:paraId="6977640E" w14:textId="77777777" w:rsidR="005A4E7A" w:rsidRPr="00784236" w:rsidRDefault="005A4E7A" w:rsidP="000A77A8">
      <w:pPr>
        <w:pStyle w:val="BodyText"/>
        <w:jc w:val="both"/>
      </w:pPr>
      <w:r w:rsidRPr="00784236">
        <w:rPr>
          <w:rFonts w:hint="cs"/>
        </w:rPr>
        <w:t>A draft Decree detailing a number of articles of the Cybersecurity Law (“</w:t>
      </w:r>
      <w:r w:rsidRPr="00784236">
        <w:rPr>
          <w:rFonts w:hint="cs"/>
          <w:b/>
          <w:bCs/>
        </w:rPr>
        <w:t>Draft Cybersecurity Decree</w:t>
      </w:r>
      <w:r w:rsidRPr="00784236">
        <w:rPr>
          <w:rFonts w:hint="cs"/>
        </w:rPr>
        <w:t>”), notably including implementation guidelines for data localization requirements, together with a draft Decree detailing the order of and procedures for application of a number of cybersecurity assurance measures and a draft Decision of the Prime Minister promulgating a List of information systems important for national security, are being prepared by the Ministry of Public Security (“</w:t>
      </w:r>
      <w:r w:rsidRPr="00784236">
        <w:rPr>
          <w:rFonts w:hint="cs"/>
          <w:b/>
          <w:bCs/>
        </w:rPr>
        <w:t>MPS</w:t>
      </w:r>
      <w:r w:rsidRPr="00784236">
        <w:rPr>
          <w:rFonts w:hint="cs"/>
        </w:rPr>
        <w:t>”) in coordination with other relevant ministries, ministerial-level agencies and bodies.</w:t>
      </w:r>
    </w:p>
    <w:p w14:paraId="24466B0B" w14:textId="77777777" w:rsidR="005A4E7A" w:rsidRPr="00784236" w:rsidRDefault="005A4E7A" w:rsidP="000A77A8">
      <w:pPr>
        <w:pStyle w:val="BodyText"/>
        <w:jc w:val="both"/>
      </w:pPr>
      <w:r w:rsidRPr="00784236">
        <w:rPr>
          <w:rFonts w:hint="cs"/>
        </w:rPr>
        <w:t>MPS has drafted a Decree on personal data protection (“</w:t>
      </w:r>
      <w:r w:rsidRPr="00784236">
        <w:rPr>
          <w:rFonts w:hint="cs"/>
          <w:b/>
          <w:bCs/>
        </w:rPr>
        <w:t>Draft PDPD</w:t>
      </w:r>
      <w:r w:rsidRPr="00784236">
        <w:rPr>
          <w:rFonts w:hint="cs"/>
        </w:rPr>
        <w:t xml:space="preserve">”), which is contemplated to consolidate all data protection laws and regulations into one comprehensive data protection law as well as make significant additions and improvements to the existing regulations. The Draft PDPD was released for public comments in February 2021 and was originally scheduled to take effect by December 2021. </w:t>
      </w:r>
      <w:r>
        <w:t>The F</w:t>
      </w:r>
      <w:r w:rsidRPr="00784236">
        <w:rPr>
          <w:rFonts w:hint="cs"/>
        </w:rPr>
        <w:t xml:space="preserve">inalization process </w:t>
      </w:r>
      <w:r>
        <w:t xml:space="preserve">consuming </w:t>
      </w:r>
      <w:r w:rsidRPr="00784236">
        <w:rPr>
          <w:rFonts w:hint="cs"/>
        </w:rPr>
        <w:t xml:space="preserve">much </w:t>
      </w:r>
      <w:r>
        <w:t>more time</w:t>
      </w:r>
      <w:r w:rsidRPr="00784236">
        <w:rPr>
          <w:rFonts w:hint="cs"/>
        </w:rPr>
        <w:t xml:space="preserve"> than the MPS first anticipated. </w:t>
      </w:r>
      <w:r>
        <w:t xml:space="preserve">The </w:t>
      </w:r>
      <w:r w:rsidRPr="00784236">
        <w:rPr>
          <w:rFonts w:hint="cs"/>
        </w:rPr>
        <w:t xml:space="preserve">Draft PDPD might be finalized and </w:t>
      </w:r>
      <w:r>
        <w:t>coming in force end of</w:t>
      </w:r>
      <w:r w:rsidRPr="00784236">
        <w:rPr>
          <w:rFonts w:hint="cs"/>
        </w:rPr>
        <w:t xml:space="preserve"> 2022.</w:t>
      </w:r>
    </w:p>
    <w:p w14:paraId="3C855C70" w14:textId="77777777" w:rsidR="005A4E7A" w:rsidRPr="00784236" w:rsidRDefault="005A4E7A" w:rsidP="005A4E7A">
      <w:pPr>
        <w:pStyle w:val="BodyText"/>
      </w:pPr>
    </w:p>
    <w:p w14:paraId="63380D8D" w14:textId="77777777" w:rsidR="005A4E7A" w:rsidRPr="00784236" w:rsidRDefault="005A4E7A" w:rsidP="005A4E7A">
      <w:pPr>
        <w:pStyle w:val="BodyText"/>
      </w:pPr>
    </w:p>
    <w:p w14:paraId="786CC465" w14:textId="77777777" w:rsidR="005A4E7A" w:rsidRPr="00A40AE6" w:rsidRDefault="005A4E7A" w:rsidP="005A4E7A"/>
    <w:p w14:paraId="7FB73F4A" w14:textId="77777777" w:rsidR="005A4E7A" w:rsidRPr="000750CF" w:rsidRDefault="005A4E7A" w:rsidP="005A4E7A">
      <w:pPr>
        <w:pStyle w:val="BodyText"/>
      </w:pPr>
    </w:p>
    <w:p w14:paraId="3403E99A" w14:textId="77777777" w:rsidR="005A4E7A" w:rsidRPr="002C0ED4" w:rsidRDefault="005A4E7A" w:rsidP="005A4E7A">
      <w:pPr>
        <w:rPr>
          <w:rFonts w:cs="Arial"/>
          <w:lang w:eastAsia="zh-TW"/>
        </w:rPr>
      </w:pPr>
    </w:p>
    <w:p w14:paraId="15258C32" w14:textId="77777777" w:rsidR="005A4E7A" w:rsidRDefault="005A4E7A" w:rsidP="005A4E7A">
      <w:pPr>
        <w:pStyle w:val="BodyText"/>
      </w:pPr>
    </w:p>
    <w:p w14:paraId="5C800612" w14:textId="77777777" w:rsidR="005A4E7A" w:rsidRDefault="005A4E7A" w:rsidP="005A4E7A">
      <w:pPr>
        <w:pStyle w:val="BodyText"/>
      </w:pPr>
    </w:p>
    <w:p w14:paraId="0E6D3A1F" w14:textId="77777777" w:rsidR="00CD79A8" w:rsidRDefault="00CD79A8" w:rsidP="00CD79A8">
      <w:pPr>
        <w:pStyle w:val="BodyText"/>
      </w:pPr>
    </w:p>
    <w:p w14:paraId="0F5B6E0A" w14:textId="77777777" w:rsidR="00CD79A8" w:rsidRDefault="00CD79A8" w:rsidP="00CD79A8">
      <w:pPr>
        <w:pStyle w:val="BodyText"/>
      </w:pPr>
    </w:p>
    <w:p w14:paraId="419920A4" w14:textId="77777777" w:rsidR="00CD79A8" w:rsidRDefault="00CD79A8" w:rsidP="00CD79A8">
      <w:pPr>
        <w:pStyle w:val="BodyText"/>
      </w:pPr>
    </w:p>
    <w:p w14:paraId="2A861776" w14:textId="77777777" w:rsidR="00CD79A8" w:rsidRDefault="00CD79A8" w:rsidP="00CD79A8">
      <w:pPr>
        <w:pStyle w:val="BodyText"/>
      </w:pPr>
    </w:p>
    <w:p w14:paraId="753EC236" w14:textId="77777777" w:rsidR="00CD79A8" w:rsidRDefault="00CD79A8" w:rsidP="00CD79A8">
      <w:pPr>
        <w:pStyle w:val="BodyText"/>
      </w:pPr>
    </w:p>
    <w:p w14:paraId="03AD823D" w14:textId="77777777" w:rsidR="00CD79A8" w:rsidRDefault="00CD79A8" w:rsidP="00CD79A8">
      <w:pPr>
        <w:pStyle w:val="BodyText"/>
      </w:pPr>
    </w:p>
    <w:p w14:paraId="326A11F0" w14:textId="77777777" w:rsidR="00CD79A8" w:rsidRDefault="00CD79A8" w:rsidP="00CD79A8">
      <w:pPr>
        <w:pStyle w:val="BodyText"/>
      </w:pPr>
    </w:p>
    <w:p w14:paraId="2A3EEB5F" w14:textId="77777777" w:rsidR="00CD79A8" w:rsidRDefault="00CD79A8" w:rsidP="00CD79A8">
      <w:pPr>
        <w:pStyle w:val="BodyText"/>
      </w:pPr>
    </w:p>
    <w:p w14:paraId="4AD8646B" w14:textId="77777777" w:rsidR="00CD79A8" w:rsidRDefault="00CD79A8" w:rsidP="00CD79A8">
      <w:pPr>
        <w:pStyle w:val="BodyText"/>
      </w:pPr>
    </w:p>
    <w:p w14:paraId="7ADFE8BE" w14:textId="3EC3866B" w:rsidR="00CD79A8" w:rsidRDefault="00CD79A8" w:rsidP="00CD79A8">
      <w:pPr>
        <w:pStyle w:val="BodyText"/>
      </w:pPr>
    </w:p>
    <w:p w14:paraId="02E0CC6C" w14:textId="2B9222ED" w:rsidR="00CD79A8" w:rsidRDefault="00CD79A8" w:rsidP="00CD79A8">
      <w:pPr>
        <w:pStyle w:val="BodyText"/>
        <w:outlineLvl w:val="1"/>
        <w:rPr>
          <w:b/>
          <w:bCs/>
          <w:i/>
          <w:iCs/>
          <w:sz w:val="22"/>
          <w:szCs w:val="22"/>
        </w:rPr>
      </w:pPr>
      <w:bookmarkStart w:id="37" w:name="_Toc72762030"/>
      <w:bookmarkStart w:id="38" w:name="_Toc117593906"/>
      <w:r>
        <w:rPr>
          <w:b/>
          <w:bCs/>
          <w:i/>
          <w:iCs/>
          <w:sz w:val="22"/>
          <w:szCs w:val="22"/>
        </w:rPr>
        <w:lastRenderedPageBreak/>
        <w:t>3.</w:t>
      </w:r>
      <w:r w:rsidR="005A4E7A">
        <w:rPr>
          <w:b/>
          <w:bCs/>
          <w:i/>
          <w:iCs/>
          <w:sz w:val="22"/>
          <w:szCs w:val="22"/>
        </w:rPr>
        <w:t>4</w:t>
      </w:r>
      <w:r>
        <w:rPr>
          <w:b/>
          <w:bCs/>
          <w:i/>
          <w:iCs/>
          <w:sz w:val="22"/>
          <w:szCs w:val="22"/>
        </w:rPr>
        <w:tab/>
        <w:t>Example PII:</w:t>
      </w:r>
      <w:bookmarkEnd w:id="37"/>
      <w:bookmarkEnd w:id="38"/>
    </w:p>
    <w:p w14:paraId="050F00F6" w14:textId="77777777" w:rsidR="00CD79A8" w:rsidRDefault="00CD79A8" w:rsidP="00CD79A8">
      <w:pPr>
        <w:pStyle w:val="BodyText"/>
      </w:pPr>
    </w:p>
    <w:p w14:paraId="2BA499EA" w14:textId="275B53B8" w:rsidR="00CD79A8" w:rsidRDefault="00CD79A8" w:rsidP="00CD79A8">
      <w:pPr>
        <w:spacing w:before="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A891518" wp14:editId="6E394D67">
            <wp:extent cx="5737860" cy="6080760"/>
            <wp:effectExtent l="0" t="0" r="0" b="0"/>
            <wp:docPr id="2" name="Picture 2" descr="What Is considered Personally Identifiable Information (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considered Personally Identifiable Information (PII)?"/>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7860" cy="6080760"/>
                    </a:xfrm>
                    <a:prstGeom prst="rect">
                      <a:avLst/>
                    </a:prstGeom>
                    <a:noFill/>
                    <a:ln>
                      <a:noFill/>
                    </a:ln>
                  </pic:spPr>
                </pic:pic>
              </a:graphicData>
            </a:graphic>
          </wp:inline>
        </w:drawing>
      </w:r>
    </w:p>
    <w:p w14:paraId="64B1677C" w14:textId="77777777" w:rsidR="00CD79A8" w:rsidRDefault="00CD79A8" w:rsidP="00CD79A8">
      <w:pPr>
        <w:rPr>
          <w:rFonts w:cs="Arial"/>
        </w:rPr>
      </w:pPr>
    </w:p>
    <w:sectPr w:rsidR="00CD79A8" w:rsidSect="00612FEB">
      <w:headerReference w:type="default" r:id="rId11"/>
      <w:footerReference w:type="default" r:id="rId12"/>
      <w:pgSz w:w="11909" w:h="16834" w:code="9"/>
      <w:pgMar w:top="1411" w:right="1277" w:bottom="993" w:left="1440" w:header="567" w:footer="355"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3456C" w14:textId="77777777" w:rsidR="00BA2F8D" w:rsidRDefault="00BA2F8D" w:rsidP="00892FBC">
      <w:r>
        <w:separator/>
      </w:r>
    </w:p>
  </w:endnote>
  <w:endnote w:type="continuationSeparator" w:id="0">
    <w:p w14:paraId="07951FBD" w14:textId="77777777" w:rsidR="00BA2F8D" w:rsidRDefault="00BA2F8D" w:rsidP="0089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EUAlbertina">
    <w:altName w:val="Arial Unicode MS"/>
    <w:panose1 w:val="00000000000000000000"/>
    <w:charset w:val="88"/>
    <w:family w:val="swiss"/>
    <w:notTrueType/>
    <w:pitch w:val="default"/>
    <w:sig w:usb0="00000000" w:usb1="08080000" w:usb2="00000010" w:usb3="00000000" w:csb0="001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5A9B" w14:textId="59EFA826" w:rsidR="00760AB0" w:rsidRPr="00A678DA" w:rsidRDefault="00760AB0" w:rsidP="00D024E6">
    <w:pPr>
      <w:pStyle w:val="Footer"/>
      <w:pBdr>
        <w:top w:val="single" w:sz="4" w:space="1" w:color="auto"/>
      </w:pBdr>
      <w:tabs>
        <w:tab w:val="clear" w:pos="8640"/>
        <w:tab w:val="right" w:pos="8789"/>
      </w:tabs>
      <w:rPr>
        <w:rFonts w:cs="Arial"/>
        <w:noProof/>
        <w:color w:val="808080" w:themeColor="background1" w:themeShade="80"/>
        <w:sz w:val="18"/>
        <w:szCs w:val="18"/>
      </w:rPr>
    </w:pPr>
    <w:r w:rsidRPr="00A678DA">
      <w:rPr>
        <w:rFonts w:cs="Arial"/>
        <w:color w:val="808080" w:themeColor="background1" w:themeShade="80"/>
        <w:sz w:val="18"/>
        <w:szCs w:val="18"/>
        <w:shd w:val="clear" w:color="auto" w:fill="FFFFFF"/>
      </w:rPr>
      <w:t>06e-HD/SG/HDCV/FSOFT</w:t>
    </w:r>
    <w:r w:rsidRPr="00A678DA">
      <w:rPr>
        <w:rFonts w:cs="Arial"/>
        <w:noProof/>
        <w:color w:val="808080" w:themeColor="background1" w:themeShade="80"/>
        <w:sz w:val="18"/>
        <w:szCs w:val="18"/>
      </w:rPr>
      <w:tab/>
      <w:t>Internal use</w:t>
    </w:r>
    <w:r w:rsidRPr="00A678DA">
      <w:rPr>
        <w:rFonts w:cs="Arial"/>
        <w:noProof/>
        <w:color w:val="808080" w:themeColor="background1" w:themeShade="80"/>
        <w:sz w:val="18"/>
        <w:szCs w:val="18"/>
      </w:rPr>
      <w:tab/>
    </w:r>
    <w:r w:rsidRPr="00A678DA">
      <w:rPr>
        <w:rFonts w:cs="Arial"/>
        <w:noProof/>
        <w:color w:val="808080" w:themeColor="background1" w:themeShade="80"/>
        <w:sz w:val="18"/>
        <w:szCs w:val="18"/>
      </w:rPr>
      <w:fldChar w:fldCharType="begin"/>
    </w:r>
    <w:r w:rsidRPr="00A678DA">
      <w:rPr>
        <w:rFonts w:cs="Arial"/>
        <w:noProof/>
        <w:color w:val="808080" w:themeColor="background1" w:themeShade="80"/>
        <w:sz w:val="18"/>
        <w:szCs w:val="18"/>
      </w:rPr>
      <w:instrText xml:space="preserve"> PAGE </w:instrText>
    </w:r>
    <w:r w:rsidRPr="00A678DA">
      <w:rPr>
        <w:rFonts w:cs="Arial"/>
        <w:noProof/>
        <w:color w:val="808080" w:themeColor="background1" w:themeShade="80"/>
        <w:sz w:val="18"/>
        <w:szCs w:val="18"/>
      </w:rPr>
      <w:fldChar w:fldCharType="separate"/>
    </w:r>
    <w:r w:rsidR="009755AE">
      <w:rPr>
        <w:rFonts w:cs="Arial"/>
        <w:noProof/>
        <w:color w:val="808080" w:themeColor="background1" w:themeShade="80"/>
        <w:sz w:val="18"/>
        <w:szCs w:val="18"/>
      </w:rPr>
      <w:t>21</w:t>
    </w:r>
    <w:r w:rsidRPr="00A678DA">
      <w:rPr>
        <w:rFonts w:cs="Arial"/>
        <w:noProof/>
        <w:color w:val="808080" w:themeColor="background1" w:themeShade="80"/>
        <w:sz w:val="18"/>
        <w:szCs w:val="18"/>
      </w:rPr>
      <w:fldChar w:fldCharType="end"/>
    </w:r>
    <w:r w:rsidRPr="00A678DA">
      <w:rPr>
        <w:rFonts w:cs="Arial"/>
        <w:noProof/>
        <w:color w:val="808080" w:themeColor="background1" w:themeShade="80"/>
        <w:sz w:val="18"/>
        <w:szCs w:val="18"/>
      </w:rPr>
      <w:t>/</w:t>
    </w:r>
    <w:r w:rsidRPr="00A678DA">
      <w:rPr>
        <w:rFonts w:cs="Arial"/>
        <w:noProof/>
        <w:color w:val="808080" w:themeColor="background1" w:themeShade="80"/>
        <w:sz w:val="18"/>
        <w:szCs w:val="18"/>
      </w:rPr>
      <w:fldChar w:fldCharType="begin"/>
    </w:r>
    <w:r w:rsidRPr="00A678DA">
      <w:rPr>
        <w:rFonts w:cs="Arial"/>
        <w:noProof/>
        <w:color w:val="808080" w:themeColor="background1" w:themeShade="80"/>
        <w:sz w:val="18"/>
        <w:szCs w:val="18"/>
      </w:rPr>
      <w:instrText xml:space="preserve"> NUMPAGES </w:instrText>
    </w:r>
    <w:r w:rsidRPr="00A678DA">
      <w:rPr>
        <w:rFonts w:cs="Arial"/>
        <w:noProof/>
        <w:color w:val="808080" w:themeColor="background1" w:themeShade="80"/>
        <w:sz w:val="18"/>
        <w:szCs w:val="18"/>
      </w:rPr>
      <w:fldChar w:fldCharType="separate"/>
    </w:r>
    <w:r w:rsidR="009755AE">
      <w:rPr>
        <w:rFonts w:cs="Arial"/>
        <w:noProof/>
        <w:color w:val="808080" w:themeColor="background1" w:themeShade="80"/>
        <w:sz w:val="18"/>
        <w:szCs w:val="18"/>
      </w:rPr>
      <w:t>22</w:t>
    </w:r>
    <w:r w:rsidRPr="00A678DA">
      <w:rPr>
        <w:rFonts w:cs="Arial"/>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762C" w14:textId="77777777" w:rsidR="00BA2F8D" w:rsidRDefault="00BA2F8D" w:rsidP="00892FBC">
      <w:r>
        <w:separator/>
      </w:r>
    </w:p>
  </w:footnote>
  <w:footnote w:type="continuationSeparator" w:id="0">
    <w:p w14:paraId="5F0D2AC1" w14:textId="77777777" w:rsidR="00BA2F8D" w:rsidRDefault="00BA2F8D" w:rsidP="00892F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BDC4" w14:textId="5465E7CA" w:rsidR="00760AB0" w:rsidRPr="00CD79A8" w:rsidRDefault="00760AB0" w:rsidP="00A678DA">
    <w:pPr>
      <w:pStyle w:val="Header"/>
      <w:pBdr>
        <w:bottom w:val="single" w:sz="4" w:space="1" w:color="auto"/>
      </w:pBdr>
      <w:tabs>
        <w:tab w:val="clear" w:pos="4320"/>
        <w:tab w:val="clear" w:pos="8640"/>
        <w:tab w:val="right" w:pos="8931"/>
      </w:tabs>
      <w:rPr>
        <w:rFonts w:cs="Tahoma"/>
        <w:color w:val="808080"/>
        <w:sz w:val="18"/>
        <w:szCs w:val="18"/>
      </w:rPr>
    </w:pPr>
    <w:proofErr w:type="spellStart"/>
    <w:r w:rsidRPr="00CD79A8">
      <w:rPr>
        <w:rFonts w:cs="Tahoma"/>
        <w:color w:val="808080"/>
        <w:sz w:val="18"/>
        <w:szCs w:val="18"/>
      </w:rPr>
      <w:t>Guideline</w:t>
    </w:r>
    <w:r>
      <w:rPr>
        <w:rFonts w:cs="Tahoma"/>
        <w:color w:val="808080"/>
        <w:sz w:val="18"/>
        <w:szCs w:val="18"/>
      </w:rPr>
      <w:t>_</w:t>
    </w:r>
    <w:r w:rsidRPr="00CD79A8">
      <w:rPr>
        <w:rFonts w:cs="Tahoma" w:hint="eastAsia"/>
        <w:color w:val="808080"/>
        <w:sz w:val="18"/>
        <w:szCs w:val="18"/>
      </w:rPr>
      <w:t>PII</w:t>
    </w:r>
    <w:proofErr w:type="spellEnd"/>
    <w:r w:rsidRPr="00CD79A8">
      <w:rPr>
        <w:rFonts w:cs="Tahoma" w:hint="eastAsia"/>
        <w:color w:val="808080"/>
        <w:sz w:val="18"/>
        <w:szCs w:val="18"/>
      </w:rPr>
      <w:t xml:space="preserve"> Classification and Rating</w:t>
    </w:r>
    <w:r w:rsidRPr="00CD79A8">
      <w:rPr>
        <w:rFonts w:cs="Tahoma"/>
        <w:color w:val="808080"/>
        <w:sz w:val="18"/>
        <w:szCs w:val="18"/>
      </w:rPr>
      <w:tab/>
      <w:t xml:space="preserve"> v</w:t>
    </w:r>
    <w:r>
      <w:rPr>
        <w:rFonts w:cs="Tahoma"/>
        <w:color w:val="808080"/>
        <w:sz w:val="18"/>
        <w:szCs w:val="18"/>
      </w:rPr>
      <w:t>3.3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6D3"/>
    <w:multiLevelType w:val="hybridMultilevel"/>
    <w:tmpl w:val="C2525D0E"/>
    <w:lvl w:ilvl="0" w:tplc="82D211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F3EF8"/>
    <w:multiLevelType w:val="hybridMultilevel"/>
    <w:tmpl w:val="FB8E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0318B"/>
    <w:multiLevelType w:val="multilevel"/>
    <w:tmpl w:val="041E5E02"/>
    <w:lvl w:ilvl="0">
      <w:start w:val="1"/>
      <w:numFmt w:val="decimal"/>
      <w:lvlText w:val="%1.0"/>
      <w:lvlJc w:val="left"/>
      <w:pPr>
        <w:ind w:left="892" w:hanging="540"/>
      </w:pPr>
      <w:rPr>
        <w:rFonts w:hint="default"/>
      </w:rPr>
    </w:lvl>
    <w:lvl w:ilvl="1">
      <w:start w:val="1"/>
      <w:numFmt w:val="decimal"/>
      <w:lvlText w:val="%1.%2"/>
      <w:lvlJc w:val="left"/>
      <w:pPr>
        <w:ind w:left="1612"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592"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392" w:hanging="1440"/>
      </w:pPr>
      <w:rPr>
        <w:rFonts w:hint="default"/>
      </w:rPr>
    </w:lvl>
    <w:lvl w:ilvl="6">
      <w:start w:val="1"/>
      <w:numFmt w:val="decimal"/>
      <w:lvlText w:val="%1.%2.%3.%4.%5.%6.%7"/>
      <w:lvlJc w:val="left"/>
      <w:pPr>
        <w:ind w:left="6112" w:hanging="1440"/>
      </w:pPr>
      <w:rPr>
        <w:rFonts w:hint="default"/>
      </w:rPr>
    </w:lvl>
    <w:lvl w:ilvl="7">
      <w:start w:val="1"/>
      <w:numFmt w:val="decimal"/>
      <w:lvlText w:val="%1.%2.%3.%4.%5.%6.%7.%8"/>
      <w:lvlJc w:val="left"/>
      <w:pPr>
        <w:ind w:left="7192" w:hanging="1800"/>
      </w:pPr>
      <w:rPr>
        <w:rFonts w:hint="default"/>
      </w:rPr>
    </w:lvl>
    <w:lvl w:ilvl="8">
      <w:start w:val="1"/>
      <w:numFmt w:val="decimal"/>
      <w:lvlText w:val="%1.%2.%3.%4.%5.%6.%7.%8.%9"/>
      <w:lvlJc w:val="left"/>
      <w:pPr>
        <w:ind w:left="8272" w:hanging="2160"/>
      </w:pPr>
      <w:rPr>
        <w:rFonts w:hint="default"/>
      </w:rPr>
    </w:lvl>
  </w:abstractNum>
  <w:abstractNum w:abstractNumId="3" w15:restartNumberingAfterBreak="0">
    <w:nsid w:val="14233A81"/>
    <w:multiLevelType w:val="hybridMultilevel"/>
    <w:tmpl w:val="416C2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35EF"/>
    <w:multiLevelType w:val="hybridMultilevel"/>
    <w:tmpl w:val="C12AE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42282"/>
    <w:multiLevelType w:val="hybridMultilevel"/>
    <w:tmpl w:val="0FA23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2E0"/>
    <w:multiLevelType w:val="hybridMultilevel"/>
    <w:tmpl w:val="528C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C77E8"/>
    <w:multiLevelType w:val="hybridMultilevel"/>
    <w:tmpl w:val="C652DD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526B1"/>
    <w:multiLevelType w:val="hybridMultilevel"/>
    <w:tmpl w:val="0BA63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F1520"/>
    <w:multiLevelType w:val="hybridMultilevel"/>
    <w:tmpl w:val="D192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0F23"/>
    <w:multiLevelType w:val="hybridMultilevel"/>
    <w:tmpl w:val="ABDC8D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92703A"/>
    <w:multiLevelType w:val="hybridMultilevel"/>
    <w:tmpl w:val="CB8C3954"/>
    <w:lvl w:ilvl="0" w:tplc="1EE2187A">
      <w:start w:val="1"/>
      <w:numFmt w:val="decimal"/>
      <w:lvlText w:val="%1."/>
      <w:lvlJc w:val="left"/>
      <w:pPr>
        <w:ind w:left="360" w:hanging="360"/>
      </w:pPr>
      <w:rPr>
        <w:rFonts w:hint="default"/>
      </w:rPr>
    </w:lvl>
    <w:lvl w:ilvl="1" w:tplc="BAC227B4">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83E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80F2A"/>
    <w:multiLevelType w:val="hybridMultilevel"/>
    <w:tmpl w:val="DAF481BE"/>
    <w:lvl w:ilvl="0" w:tplc="82D211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4632FE"/>
    <w:multiLevelType w:val="hybridMultilevel"/>
    <w:tmpl w:val="08C00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07C54"/>
    <w:multiLevelType w:val="hybridMultilevel"/>
    <w:tmpl w:val="F7842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D60AD"/>
    <w:multiLevelType w:val="hybridMultilevel"/>
    <w:tmpl w:val="7C5EB41A"/>
    <w:lvl w:ilvl="0" w:tplc="1EE21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A40459"/>
    <w:multiLevelType w:val="multilevel"/>
    <w:tmpl w:val="3A506C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63BE29B2"/>
    <w:multiLevelType w:val="multilevel"/>
    <w:tmpl w:val="032CF28C"/>
    <w:lvl w:ilvl="0">
      <w:start w:val="1"/>
      <w:numFmt w:val="upperRoman"/>
      <w:pStyle w:val="StyleHeading1H1LatinVerdanaComplexTahomaLatin12"/>
      <w:lvlText w:val="%1"/>
      <w:lvlJc w:val="left"/>
      <w:pPr>
        <w:tabs>
          <w:tab w:val="num" w:pos="432"/>
        </w:tabs>
        <w:ind w:left="432" w:hanging="432"/>
      </w:pPr>
      <w:rPr>
        <w:rFonts w:hint="default"/>
      </w:rPr>
    </w:lvl>
    <w:lvl w:ilvl="1">
      <w:start w:val="1"/>
      <w:numFmt w:val="decimal"/>
      <w:pStyle w:val="StyleHeading2l2VerdanaLatin11ptComplexBoldItalic"/>
      <w:lvlText w:val="%2"/>
      <w:lvlJc w:val="left"/>
      <w:pPr>
        <w:tabs>
          <w:tab w:val="num" w:pos="576"/>
        </w:tabs>
        <w:ind w:left="576" w:hanging="576"/>
      </w:pPr>
      <w:rPr>
        <w:rFonts w:ascii="Verdana" w:hAnsi="Verdana" w:cs="Tahoma" w:hint="default"/>
        <w:b/>
        <w:i/>
        <w:color w:val="00330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59B2674"/>
    <w:multiLevelType w:val="hybridMultilevel"/>
    <w:tmpl w:val="6312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F0486"/>
    <w:multiLevelType w:val="multilevel"/>
    <w:tmpl w:val="046055A8"/>
    <w:lvl w:ilvl="0">
      <w:start w:val="1"/>
      <w:numFmt w:val="upperRoman"/>
      <w:lvlText w:val="%1."/>
      <w:lvlJc w:val="left"/>
      <w:pPr>
        <w:tabs>
          <w:tab w:val="num" w:pos="720"/>
        </w:tabs>
        <w:ind w:left="0" w:firstLine="0"/>
      </w:pPr>
      <w:rPr>
        <w:rFonts w:ascii=".VnTimeH" w:hAnsi=".VnArial" w:hint="default"/>
        <w:b/>
        <w:i w:val="0"/>
        <w:sz w:val="24"/>
      </w:rPr>
    </w:lvl>
    <w:lvl w:ilvl="1">
      <w:start w:val="1"/>
      <w:numFmt w:val="decimal"/>
      <w:lvlText w:val="%2."/>
      <w:lvlJc w:val="left"/>
      <w:pPr>
        <w:tabs>
          <w:tab w:val="num" w:pos="360"/>
        </w:tabs>
        <w:ind w:left="0" w:firstLine="0"/>
      </w:pPr>
      <w:rPr>
        <w:rFonts w:ascii=".VnTime" w:hAnsi=".VnTime" w:hint="default"/>
        <w:b/>
        <w:i w:val="0"/>
        <w:sz w:val="24"/>
      </w:rPr>
    </w:lvl>
    <w:lvl w:ilvl="2">
      <w:start w:val="1"/>
      <w:numFmt w:val="decimal"/>
      <w:pStyle w:val="Heading32"/>
      <w:lvlText w:val="2.%3."/>
      <w:lvlJc w:val="left"/>
      <w:pPr>
        <w:tabs>
          <w:tab w:val="num" w:pos="360"/>
        </w:tabs>
        <w:ind w:left="0" w:firstLine="0"/>
      </w:pPr>
      <w:rPr>
        <w:rFonts w:ascii=".VnTime" w:hAnsi=".VnTime"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10B7BCC"/>
    <w:multiLevelType w:val="hybridMultilevel"/>
    <w:tmpl w:val="422AB7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40701"/>
    <w:multiLevelType w:val="hybridMultilevel"/>
    <w:tmpl w:val="AABA48F0"/>
    <w:lvl w:ilvl="0" w:tplc="1EE21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1419C2"/>
    <w:multiLevelType w:val="hybridMultilevel"/>
    <w:tmpl w:val="D8689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9"/>
  </w:num>
  <w:num w:numId="5">
    <w:abstractNumId w:val="4"/>
  </w:num>
  <w:num w:numId="6">
    <w:abstractNumId w:val="15"/>
  </w:num>
  <w:num w:numId="7">
    <w:abstractNumId w:val="6"/>
  </w:num>
  <w:num w:numId="8">
    <w:abstractNumId w:val="1"/>
  </w:num>
  <w:num w:numId="9">
    <w:abstractNumId w:val="19"/>
  </w:num>
  <w:num w:numId="10">
    <w:abstractNumId w:val="21"/>
  </w:num>
  <w:num w:numId="11">
    <w:abstractNumId w:val="14"/>
  </w:num>
  <w:num w:numId="12">
    <w:abstractNumId w:val="11"/>
  </w:num>
  <w:num w:numId="13">
    <w:abstractNumId w:val="16"/>
  </w:num>
  <w:num w:numId="14">
    <w:abstractNumId w:val="22"/>
  </w:num>
  <w:num w:numId="15">
    <w:abstractNumId w:val="0"/>
  </w:num>
  <w:num w:numId="16">
    <w:abstractNumId w:val="13"/>
  </w:num>
  <w:num w:numId="17">
    <w:abstractNumId w:val="2"/>
  </w:num>
  <w:num w:numId="18">
    <w:abstractNumId w:val="10"/>
  </w:num>
  <w:num w:numId="19">
    <w:abstractNumId w:val="7"/>
  </w:num>
  <w:num w:numId="20">
    <w:abstractNumId w:val="5"/>
  </w:num>
  <w:num w:numId="21">
    <w:abstractNumId w:val="3"/>
  </w:num>
  <w:num w:numId="22">
    <w:abstractNumId w:val="23"/>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5B"/>
    <w:rsid w:val="00000D91"/>
    <w:rsid w:val="00005B65"/>
    <w:rsid w:val="000127A8"/>
    <w:rsid w:val="000144E1"/>
    <w:rsid w:val="0001571C"/>
    <w:rsid w:val="0001743F"/>
    <w:rsid w:val="00021AF0"/>
    <w:rsid w:val="00036FD2"/>
    <w:rsid w:val="000406E8"/>
    <w:rsid w:val="00041244"/>
    <w:rsid w:val="00041D5F"/>
    <w:rsid w:val="00064C33"/>
    <w:rsid w:val="00066746"/>
    <w:rsid w:val="000718EC"/>
    <w:rsid w:val="000968F7"/>
    <w:rsid w:val="000978B5"/>
    <w:rsid w:val="000A6C88"/>
    <w:rsid w:val="000A77A8"/>
    <w:rsid w:val="000D17E0"/>
    <w:rsid w:val="000D5CB4"/>
    <w:rsid w:val="000D7E9E"/>
    <w:rsid w:val="00101263"/>
    <w:rsid w:val="001046A4"/>
    <w:rsid w:val="00112EBD"/>
    <w:rsid w:val="0011373A"/>
    <w:rsid w:val="0012096C"/>
    <w:rsid w:val="00131CE0"/>
    <w:rsid w:val="0013629C"/>
    <w:rsid w:val="00144F12"/>
    <w:rsid w:val="00154589"/>
    <w:rsid w:val="00155CB0"/>
    <w:rsid w:val="001760D1"/>
    <w:rsid w:val="00177590"/>
    <w:rsid w:val="00182338"/>
    <w:rsid w:val="00186722"/>
    <w:rsid w:val="001A0547"/>
    <w:rsid w:val="001A57B2"/>
    <w:rsid w:val="001B0316"/>
    <w:rsid w:val="001B0548"/>
    <w:rsid w:val="001B0F05"/>
    <w:rsid w:val="001C2513"/>
    <w:rsid w:val="001C5CD8"/>
    <w:rsid w:val="001D0A60"/>
    <w:rsid w:val="001D48A6"/>
    <w:rsid w:val="001D4E38"/>
    <w:rsid w:val="001E2EB1"/>
    <w:rsid w:val="001F461E"/>
    <w:rsid w:val="00202FC5"/>
    <w:rsid w:val="00214631"/>
    <w:rsid w:val="0021583B"/>
    <w:rsid w:val="002316F0"/>
    <w:rsid w:val="00251086"/>
    <w:rsid w:val="00253A12"/>
    <w:rsid w:val="00255920"/>
    <w:rsid w:val="002607A2"/>
    <w:rsid w:val="00263F5C"/>
    <w:rsid w:val="0026715D"/>
    <w:rsid w:val="00267EA5"/>
    <w:rsid w:val="00272B2C"/>
    <w:rsid w:val="002765C8"/>
    <w:rsid w:val="0027773B"/>
    <w:rsid w:val="002A0498"/>
    <w:rsid w:val="002B232C"/>
    <w:rsid w:val="002B697E"/>
    <w:rsid w:val="002B69A6"/>
    <w:rsid w:val="002D6E95"/>
    <w:rsid w:val="002D7B4C"/>
    <w:rsid w:val="002E0D71"/>
    <w:rsid w:val="002F03E4"/>
    <w:rsid w:val="002F3D14"/>
    <w:rsid w:val="002F3DEC"/>
    <w:rsid w:val="002F5650"/>
    <w:rsid w:val="002F6F92"/>
    <w:rsid w:val="003136EF"/>
    <w:rsid w:val="00316D18"/>
    <w:rsid w:val="00320D8D"/>
    <w:rsid w:val="00321083"/>
    <w:rsid w:val="003379E0"/>
    <w:rsid w:val="00343EDF"/>
    <w:rsid w:val="0034528C"/>
    <w:rsid w:val="00345CC6"/>
    <w:rsid w:val="00346C5D"/>
    <w:rsid w:val="00351E0E"/>
    <w:rsid w:val="00373C82"/>
    <w:rsid w:val="003743A1"/>
    <w:rsid w:val="00377A05"/>
    <w:rsid w:val="003828ED"/>
    <w:rsid w:val="003A01AF"/>
    <w:rsid w:val="003B1103"/>
    <w:rsid w:val="003B2BD8"/>
    <w:rsid w:val="003B7362"/>
    <w:rsid w:val="003D0464"/>
    <w:rsid w:val="003E1CFD"/>
    <w:rsid w:val="003E29D8"/>
    <w:rsid w:val="003E6EC7"/>
    <w:rsid w:val="003F4BA9"/>
    <w:rsid w:val="003F6634"/>
    <w:rsid w:val="00413C2D"/>
    <w:rsid w:val="004202C0"/>
    <w:rsid w:val="00430277"/>
    <w:rsid w:val="004303DA"/>
    <w:rsid w:val="004349E0"/>
    <w:rsid w:val="00436DF9"/>
    <w:rsid w:val="004420A7"/>
    <w:rsid w:val="00443BCB"/>
    <w:rsid w:val="00444978"/>
    <w:rsid w:val="004455E9"/>
    <w:rsid w:val="00457D8D"/>
    <w:rsid w:val="00460ACF"/>
    <w:rsid w:val="004715C4"/>
    <w:rsid w:val="00471A5F"/>
    <w:rsid w:val="00475B80"/>
    <w:rsid w:val="004861E1"/>
    <w:rsid w:val="00487BB8"/>
    <w:rsid w:val="0049025F"/>
    <w:rsid w:val="004913D2"/>
    <w:rsid w:val="004B26E7"/>
    <w:rsid w:val="004B359A"/>
    <w:rsid w:val="004D0B64"/>
    <w:rsid w:val="004E476E"/>
    <w:rsid w:val="004E68DE"/>
    <w:rsid w:val="004F16A5"/>
    <w:rsid w:val="005104FF"/>
    <w:rsid w:val="00531290"/>
    <w:rsid w:val="005440C5"/>
    <w:rsid w:val="00547FB7"/>
    <w:rsid w:val="00554BB3"/>
    <w:rsid w:val="00556DCD"/>
    <w:rsid w:val="00560B16"/>
    <w:rsid w:val="00570614"/>
    <w:rsid w:val="00591AC5"/>
    <w:rsid w:val="005936D5"/>
    <w:rsid w:val="0059447E"/>
    <w:rsid w:val="00595B15"/>
    <w:rsid w:val="00597166"/>
    <w:rsid w:val="00597494"/>
    <w:rsid w:val="005A1ADD"/>
    <w:rsid w:val="005A24AD"/>
    <w:rsid w:val="005A4E7A"/>
    <w:rsid w:val="005A620C"/>
    <w:rsid w:val="005C17B9"/>
    <w:rsid w:val="005C6375"/>
    <w:rsid w:val="005D3104"/>
    <w:rsid w:val="005E009D"/>
    <w:rsid w:val="005E00B4"/>
    <w:rsid w:val="005F1AC3"/>
    <w:rsid w:val="005F32C9"/>
    <w:rsid w:val="005F48F9"/>
    <w:rsid w:val="00612FEB"/>
    <w:rsid w:val="00613CC3"/>
    <w:rsid w:val="0061639B"/>
    <w:rsid w:val="00626DBB"/>
    <w:rsid w:val="0063189A"/>
    <w:rsid w:val="00651756"/>
    <w:rsid w:val="00656291"/>
    <w:rsid w:val="0065673D"/>
    <w:rsid w:val="0066306F"/>
    <w:rsid w:val="0066353E"/>
    <w:rsid w:val="00670A42"/>
    <w:rsid w:val="006713AE"/>
    <w:rsid w:val="006752E1"/>
    <w:rsid w:val="00694298"/>
    <w:rsid w:val="006A054E"/>
    <w:rsid w:val="006A080A"/>
    <w:rsid w:val="006C12CD"/>
    <w:rsid w:val="006C1911"/>
    <w:rsid w:val="006C52AA"/>
    <w:rsid w:val="006C533B"/>
    <w:rsid w:val="006D2646"/>
    <w:rsid w:val="006D40CF"/>
    <w:rsid w:val="006E1413"/>
    <w:rsid w:val="006F1E75"/>
    <w:rsid w:val="006F2388"/>
    <w:rsid w:val="006F2522"/>
    <w:rsid w:val="006F6EE1"/>
    <w:rsid w:val="00701A89"/>
    <w:rsid w:val="0070759F"/>
    <w:rsid w:val="0072048B"/>
    <w:rsid w:val="00722787"/>
    <w:rsid w:val="00730015"/>
    <w:rsid w:val="00734F9C"/>
    <w:rsid w:val="007373C9"/>
    <w:rsid w:val="0074451B"/>
    <w:rsid w:val="00746F5A"/>
    <w:rsid w:val="0075228C"/>
    <w:rsid w:val="00755FF0"/>
    <w:rsid w:val="00760AB0"/>
    <w:rsid w:val="0076121C"/>
    <w:rsid w:val="00772A50"/>
    <w:rsid w:val="007738D9"/>
    <w:rsid w:val="00776BD1"/>
    <w:rsid w:val="007803B4"/>
    <w:rsid w:val="00785D8C"/>
    <w:rsid w:val="00786055"/>
    <w:rsid w:val="007870A5"/>
    <w:rsid w:val="007953F6"/>
    <w:rsid w:val="00797D8C"/>
    <w:rsid w:val="00797F28"/>
    <w:rsid w:val="007A4AC0"/>
    <w:rsid w:val="007B226D"/>
    <w:rsid w:val="007D3AA6"/>
    <w:rsid w:val="007E4EBB"/>
    <w:rsid w:val="007E64F8"/>
    <w:rsid w:val="007F3F39"/>
    <w:rsid w:val="00803419"/>
    <w:rsid w:val="00803E8B"/>
    <w:rsid w:val="00806D2B"/>
    <w:rsid w:val="008111D2"/>
    <w:rsid w:val="008175F6"/>
    <w:rsid w:val="008239AA"/>
    <w:rsid w:val="00825474"/>
    <w:rsid w:val="00826D8F"/>
    <w:rsid w:val="00837A19"/>
    <w:rsid w:val="00847E24"/>
    <w:rsid w:val="00851A28"/>
    <w:rsid w:val="00855E7C"/>
    <w:rsid w:val="008577D2"/>
    <w:rsid w:val="008629FB"/>
    <w:rsid w:val="00863274"/>
    <w:rsid w:val="00865380"/>
    <w:rsid w:val="008715EA"/>
    <w:rsid w:val="00871FB4"/>
    <w:rsid w:val="00877A3C"/>
    <w:rsid w:val="008834EC"/>
    <w:rsid w:val="008852CA"/>
    <w:rsid w:val="00885D72"/>
    <w:rsid w:val="008926FB"/>
    <w:rsid w:val="00892FBC"/>
    <w:rsid w:val="00894E7A"/>
    <w:rsid w:val="008A2678"/>
    <w:rsid w:val="008A53BD"/>
    <w:rsid w:val="008A5710"/>
    <w:rsid w:val="008B2322"/>
    <w:rsid w:val="008B7B03"/>
    <w:rsid w:val="008C1741"/>
    <w:rsid w:val="008D5921"/>
    <w:rsid w:val="008D7F75"/>
    <w:rsid w:val="0090491A"/>
    <w:rsid w:val="009577AF"/>
    <w:rsid w:val="00957DB8"/>
    <w:rsid w:val="00957E29"/>
    <w:rsid w:val="00961325"/>
    <w:rsid w:val="00963A85"/>
    <w:rsid w:val="00965D2B"/>
    <w:rsid w:val="009755AE"/>
    <w:rsid w:val="00996A26"/>
    <w:rsid w:val="009A3272"/>
    <w:rsid w:val="009A43DC"/>
    <w:rsid w:val="009A58C1"/>
    <w:rsid w:val="009B038A"/>
    <w:rsid w:val="009B27F8"/>
    <w:rsid w:val="009C4FD7"/>
    <w:rsid w:val="009C62CE"/>
    <w:rsid w:val="009D7511"/>
    <w:rsid w:val="009F52C9"/>
    <w:rsid w:val="00A0021C"/>
    <w:rsid w:val="00A24AEA"/>
    <w:rsid w:val="00A25EEA"/>
    <w:rsid w:val="00A27C4B"/>
    <w:rsid w:val="00A309AF"/>
    <w:rsid w:val="00A31936"/>
    <w:rsid w:val="00A35798"/>
    <w:rsid w:val="00A44AE4"/>
    <w:rsid w:val="00A5550D"/>
    <w:rsid w:val="00A61EF3"/>
    <w:rsid w:val="00A6734A"/>
    <w:rsid w:val="00A67366"/>
    <w:rsid w:val="00A678DA"/>
    <w:rsid w:val="00A72EEE"/>
    <w:rsid w:val="00A965EA"/>
    <w:rsid w:val="00AA17EC"/>
    <w:rsid w:val="00AC2407"/>
    <w:rsid w:val="00AC306F"/>
    <w:rsid w:val="00AC372E"/>
    <w:rsid w:val="00AD30D5"/>
    <w:rsid w:val="00AE3A43"/>
    <w:rsid w:val="00AE7DBF"/>
    <w:rsid w:val="00AF200C"/>
    <w:rsid w:val="00AF7CF9"/>
    <w:rsid w:val="00B10513"/>
    <w:rsid w:val="00B1622D"/>
    <w:rsid w:val="00B275FA"/>
    <w:rsid w:val="00B37C33"/>
    <w:rsid w:val="00B37D99"/>
    <w:rsid w:val="00B60B6D"/>
    <w:rsid w:val="00B72568"/>
    <w:rsid w:val="00B729EE"/>
    <w:rsid w:val="00B75AF7"/>
    <w:rsid w:val="00B77B90"/>
    <w:rsid w:val="00B80B1E"/>
    <w:rsid w:val="00B84E24"/>
    <w:rsid w:val="00B97CED"/>
    <w:rsid w:val="00BA2F8D"/>
    <w:rsid w:val="00BB1783"/>
    <w:rsid w:val="00BB7D33"/>
    <w:rsid w:val="00BB7DC6"/>
    <w:rsid w:val="00BC6B48"/>
    <w:rsid w:val="00BC7CA2"/>
    <w:rsid w:val="00BD622B"/>
    <w:rsid w:val="00BD661B"/>
    <w:rsid w:val="00BE2EBF"/>
    <w:rsid w:val="00BE5680"/>
    <w:rsid w:val="00BF1140"/>
    <w:rsid w:val="00BF4487"/>
    <w:rsid w:val="00C0127C"/>
    <w:rsid w:val="00C0187B"/>
    <w:rsid w:val="00C02730"/>
    <w:rsid w:val="00C03907"/>
    <w:rsid w:val="00C1064F"/>
    <w:rsid w:val="00C22C7F"/>
    <w:rsid w:val="00C32073"/>
    <w:rsid w:val="00C35709"/>
    <w:rsid w:val="00C36E90"/>
    <w:rsid w:val="00C476A3"/>
    <w:rsid w:val="00C47D58"/>
    <w:rsid w:val="00C503FE"/>
    <w:rsid w:val="00C54274"/>
    <w:rsid w:val="00C63FD9"/>
    <w:rsid w:val="00C734EF"/>
    <w:rsid w:val="00C81CFF"/>
    <w:rsid w:val="00C823C9"/>
    <w:rsid w:val="00C87209"/>
    <w:rsid w:val="00C90978"/>
    <w:rsid w:val="00C911C6"/>
    <w:rsid w:val="00C9335B"/>
    <w:rsid w:val="00C954D9"/>
    <w:rsid w:val="00CA245F"/>
    <w:rsid w:val="00CA7F67"/>
    <w:rsid w:val="00CB1FDA"/>
    <w:rsid w:val="00CB234F"/>
    <w:rsid w:val="00CC0A2A"/>
    <w:rsid w:val="00CC4921"/>
    <w:rsid w:val="00CC51E5"/>
    <w:rsid w:val="00CC6BDE"/>
    <w:rsid w:val="00CD06DD"/>
    <w:rsid w:val="00CD79A8"/>
    <w:rsid w:val="00CE1DD4"/>
    <w:rsid w:val="00CE5644"/>
    <w:rsid w:val="00D024E6"/>
    <w:rsid w:val="00D077BA"/>
    <w:rsid w:val="00D13747"/>
    <w:rsid w:val="00D13C9F"/>
    <w:rsid w:val="00D14445"/>
    <w:rsid w:val="00D30A07"/>
    <w:rsid w:val="00D3253C"/>
    <w:rsid w:val="00D43999"/>
    <w:rsid w:val="00D44E3B"/>
    <w:rsid w:val="00D45273"/>
    <w:rsid w:val="00D76342"/>
    <w:rsid w:val="00DA0BEF"/>
    <w:rsid w:val="00DA4643"/>
    <w:rsid w:val="00DB3C61"/>
    <w:rsid w:val="00DD09B1"/>
    <w:rsid w:val="00DD6850"/>
    <w:rsid w:val="00DD75BE"/>
    <w:rsid w:val="00DE6132"/>
    <w:rsid w:val="00DF19F5"/>
    <w:rsid w:val="00DF43C1"/>
    <w:rsid w:val="00DF4EA5"/>
    <w:rsid w:val="00E07862"/>
    <w:rsid w:val="00E24F32"/>
    <w:rsid w:val="00E2508E"/>
    <w:rsid w:val="00E276BF"/>
    <w:rsid w:val="00E27E65"/>
    <w:rsid w:val="00E3203F"/>
    <w:rsid w:val="00E32BC3"/>
    <w:rsid w:val="00E332E7"/>
    <w:rsid w:val="00E41179"/>
    <w:rsid w:val="00E45FA0"/>
    <w:rsid w:val="00E463FD"/>
    <w:rsid w:val="00E52F0C"/>
    <w:rsid w:val="00E52F3D"/>
    <w:rsid w:val="00E53C32"/>
    <w:rsid w:val="00E565A7"/>
    <w:rsid w:val="00E569CC"/>
    <w:rsid w:val="00E57895"/>
    <w:rsid w:val="00E6017F"/>
    <w:rsid w:val="00E67293"/>
    <w:rsid w:val="00E74245"/>
    <w:rsid w:val="00E82D86"/>
    <w:rsid w:val="00EA1E39"/>
    <w:rsid w:val="00EA40BA"/>
    <w:rsid w:val="00EC63C4"/>
    <w:rsid w:val="00ED35EF"/>
    <w:rsid w:val="00ED388A"/>
    <w:rsid w:val="00ED4347"/>
    <w:rsid w:val="00ED6E77"/>
    <w:rsid w:val="00EE5771"/>
    <w:rsid w:val="00EE7378"/>
    <w:rsid w:val="00EF3E09"/>
    <w:rsid w:val="00EF584F"/>
    <w:rsid w:val="00EF7CD3"/>
    <w:rsid w:val="00F049CC"/>
    <w:rsid w:val="00F04F25"/>
    <w:rsid w:val="00F2301F"/>
    <w:rsid w:val="00F369FF"/>
    <w:rsid w:val="00F455F9"/>
    <w:rsid w:val="00F51CAB"/>
    <w:rsid w:val="00F51EE9"/>
    <w:rsid w:val="00F53B91"/>
    <w:rsid w:val="00F60986"/>
    <w:rsid w:val="00F62D38"/>
    <w:rsid w:val="00F67FD4"/>
    <w:rsid w:val="00F72A4D"/>
    <w:rsid w:val="00F85B03"/>
    <w:rsid w:val="00FA6C9F"/>
    <w:rsid w:val="00FB32DA"/>
    <w:rsid w:val="00FC189E"/>
    <w:rsid w:val="00FC44E4"/>
    <w:rsid w:val="00FC5B14"/>
    <w:rsid w:val="00FD4DCC"/>
    <w:rsid w:val="00FD656A"/>
    <w:rsid w:val="00FE085E"/>
    <w:rsid w:val="00FE1D02"/>
    <w:rsid w:val="00FE3B8D"/>
    <w:rsid w:val="00FE5DEE"/>
    <w:rsid w:val="00FE69E7"/>
    <w:rsid w:val="00FF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94FD9"/>
  <w15:docId w15:val="{E7D42145-F3FE-48D8-8943-A55A1A0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FBC"/>
    <w:pPr>
      <w:spacing w:before="120" w:line="360" w:lineRule="auto"/>
    </w:pPr>
    <w:rPr>
      <w:rFonts w:ascii="Arial" w:hAnsi="Arial"/>
    </w:rPr>
  </w:style>
  <w:style w:type="paragraph" w:styleId="Heading1">
    <w:name w:val="heading 1"/>
    <w:aliases w:val="H1"/>
    <w:basedOn w:val="Normal"/>
    <w:next w:val="BodyText"/>
    <w:link w:val="Heading1Char"/>
    <w:qFormat/>
    <w:rsid w:val="00ED6E77"/>
    <w:pPr>
      <w:keepNext/>
      <w:keepLines/>
      <w:pageBreakBefore/>
      <w:numPr>
        <w:numId w:val="3"/>
      </w:numPr>
      <w:spacing w:before="360" w:after="240"/>
      <w:outlineLvl w:val="0"/>
    </w:pPr>
    <w:rPr>
      <w:b/>
      <w:spacing w:val="-10"/>
      <w:kern w:val="28"/>
      <w:sz w:val="24"/>
    </w:rPr>
  </w:style>
  <w:style w:type="paragraph" w:styleId="Heading2">
    <w:name w:val="heading 2"/>
    <w:aliases w:val="l2,H2"/>
    <w:basedOn w:val="Normal"/>
    <w:next w:val="BodyText"/>
    <w:link w:val="Heading2Char"/>
    <w:qFormat/>
    <w:rsid w:val="00ED6E77"/>
    <w:pPr>
      <w:keepNext/>
      <w:keepLines/>
      <w:numPr>
        <w:ilvl w:val="1"/>
        <w:numId w:val="3"/>
      </w:numPr>
      <w:spacing w:before="360" w:after="240"/>
      <w:outlineLvl w:val="1"/>
    </w:pPr>
    <w:rPr>
      <w:b/>
      <w:i/>
      <w:spacing w:val="-10"/>
      <w:kern w:val="28"/>
      <w:sz w:val="22"/>
    </w:rPr>
  </w:style>
  <w:style w:type="paragraph" w:styleId="Heading3">
    <w:name w:val="heading 3"/>
    <w:aliases w:val="標題.3"/>
    <w:basedOn w:val="Normal"/>
    <w:next w:val="Normal"/>
    <w:link w:val="Heading3Char"/>
    <w:qFormat/>
    <w:rsid w:val="00487BB8"/>
    <w:pPr>
      <w:keepNext/>
      <w:numPr>
        <w:ilvl w:val="2"/>
        <w:numId w:val="3"/>
      </w:numPr>
      <w:spacing w:before="60"/>
      <w:outlineLvl w:val="2"/>
    </w:pPr>
    <w:rPr>
      <w:sz w:val="22"/>
    </w:rPr>
  </w:style>
  <w:style w:type="paragraph" w:styleId="Heading4">
    <w:name w:val="heading 4"/>
    <w:basedOn w:val="Normal"/>
    <w:next w:val="Normal"/>
    <w:qFormat/>
    <w:rsid w:val="00B60B6D"/>
    <w:pPr>
      <w:keepNext/>
      <w:numPr>
        <w:ilvl w:val="3"/>
        <w:numId w:val="3"/>
      </w:numPr>
      <w:ind w:left="1440" w:firstLine="0"/>
      <w:jc w:val="both"/>
      <w:outlineLvl w:val="3"/>
    </w:pPr>
  </w:style>
  <w:style w:type="paragraph" w:styleId="Heading5">
    <w:name w:val="heading 5"/>
    <w:basedOn w:val="Normal"/>
    <w:next w:val="Normal"/>
    <w:qFormat/>
    <w:rsid w:val="00A24AEA"/>
    <w:pPr>
      <w:keepNext/>
      <w:jc w:val="center"/>
      <w:outlineLvl w:val="4"/>
    </w:pPr>
    <w:rPr>
      <w:b/>
      <w:i/>
    </w:rPr>
  </w:style>
  <w:style w:type="paragraph" w:styleId="Heading6">
    <w:name w:val="heading 6"/>
    <w:basedOn w:val="Normal"/>
    <w:next w:val="Normal"/>
    <w:qFormat/>
    <w:rsid w:val="00A24AEA"/>
    <w:pPr>
      <w:keepNext/>
      <w:numPr>
        <w:ilvl w:val="5"/>
        <w:numId w:val="3"/>
      </w:numPr>
      <w:outlineLvl w:val="5"/>
    </w:pPr>
    <w:rPr>
      <w:b/>
      <w:i/>
    </w:rPr>
  </w:style>
  <w:style w:type="paragraph" w:styleId="Heading7">
    <w:name w:val="heading 7"/>
    <w:basedOn w:val="Normal"/>
    <w:next w:val="Normal"/>
    <w:qFormat/>
    <w:rsid w:val="00A24AEA"/>
    <w:pPr>
      <w:keepNext/>
      <w:numPr>
        <w:ilvl w:val="6"/>
        <w:numId w:val="3"/>
      </w:numPr>
      <w:outlineLvl w:val="6"/>
    </w:pPr>
    <w:rPr>
      <w:b/>
      <w:i/>
    </w:rPr>
  </w:style>
  <w:style w:type="paragraph" w:styleId="Heading8">
    <w:name w:val="heading 8"/>
    <w:basedOn w:val="Normal"/>
    <w:next w:val="Normal"/>
    <w:qFormat/>
    <w:rsid w:val="00A24AEA"/>
    <w:pPr>
      <w:numPr>
        <w:ilvl w:val="7"/>
        <w:numId w:val="3"/>
      </w:numPr>
      <w:spacing w:before="240" w:after="60"/>
      <w:outlineLvl w:val="7"/>
    </w:pPr>
    <w:rPr>
      <w:i/>
    </w:rPr>
  </w:style>
  <w:style w:type="paragraph" w:styleId="Heading9">
    <w:name w:val="heading 9"/>
    <w:basedOn w:val="Normal"/>
    <w:next w:val="Normal"/>
    <w:qFormat/>
    <w:rsid w:val="00A24AEA"/>
    <w:pPr>
      <w:numPr>
        <w:ilvl w:val="8"/>
        <w:numId w:val="3"/>
      </w:numPr>
      <w:jc w:val="center"/>
      <w:outlineLvl w:val="8"/>
    </w:pPr>
    <w:rPr>
      <w:rFonts w:ascii=".VnTimeH" w:hAnsi=".VnTimeH"/>
      <w:b/>
      <w:kern w:val="2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
    <w:name w:val="Refer"/>
    <w:basedOn w:val="Normal"/>
    <w:pPr>
      <w:spacing w:after="120"/>
      <w:ind w:firstLine="720"/>
      <w:jc w:val="both"/>
    </w:pPr>
  </w:style>
  <w:style w:type="paragraph" w:styleId="BodyTextIndent2">
    <w:name w:val="Body Text Indent 2"/>
    <w:basedOn w:val="Normal"/>
    <w:pPr>
      <w:ind w:firstLine="432"/>
      <w:jc w:val="both"/>
    </w:pPr>
    <w:rPr>
      <w:kern w:val="28"/>
    </w:rPr>
  </w:style>
  <w:style w:type="paragraph" w:styleId="BodyTextIndent3">
    <w:name w:val="Body Text Indent 3"/>
    <w:basedOn w:val="Normal"/>
    <w:pPr>
      <w:ind w:firstLine="432"/>
      <w:jc w:val="both"/>
    </w:pPr>
    <w:rPr>
      <w:kern w:val="28"/>
    </w:rPr>
  </w:style>
  <w:style w:type="paragraph" w:styleId="Header">
    <w:name w:val="header"/>
    <w:aliases w:val="Chapter Name"/>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kern w:val="28"/>
    </w:rPr>
  </w:style>
  <w:style w:type="paragraph" w:customStyle="1" w:styleId="Heading32">
    <w:name w:val="Heading 3.2"/>
    <w:basedOn w:val="Normal"/>
    <w:pPr>
      <w:numPr>
        <w:ilvl w:val="2"/>
        <w:numId w:val="1"/>
      </w:numPr>
    </w:pPr>
  </w:style>
  <w:style w:type="paragraph" w:customStyle="1" w:styleId="HeadingLv1">
    <w:name w:val="Heading Lv1"/>
    <w:basedOn w:val="Normal"/>
    <w:autoRedefine/>
    <w:rsid w:val="00CB234F"/>
    <w:pPr>
      <w:autoSpaceDE w:val="0"/>
      <w:autoSpaceDN w:val="0"/>
      <w:spacing w:after="120" w:line="240" w:lineRule="atLeast"/>
      <w:jc w:val="center"/>
    </w:pPr>
    <w:rPr>
      <w:rFonts w:ascii="Verdana" w:hAnsi="Verdana"/>
      <w:b/>
      <w:noProof/>
      <w:color w:val="6E2500"/>
      <w:szCs w:val="24"/>
    </w:rPr>
  </w:style>
  <w:style w:type="paragraph" w:customStyle="1" w:styleId="HeadingLv2">
    <w:name w:val="Heading Lv2"/>
    <w:basedOn w:val="HeadingLv1"/>
    <w:autoRedefine/>
    <w:rsid w:val="003743A1"/>
    <w:rPr>
      <w:rFonts w:ascii="Arial" w:hAnsi="Arial" w:cs="Arial"/>
      <w:color w:val="003400"/>
      <w:szCs w:val="20"/>
    </w:rPr>
  </w:style>
  <w:style w:type="paragraph" w:customStyle="1" w:styleId="headingbang">
    <w:name w:val="heading bang"/>
    <w:basedOn w:val="HeadingLv1"/>
    <w:pPr>
      <w:jc w:val="left"/>
    </w:pPr>
    <w:rPr>
      <w:rFonts w:ascii="Tahoma" w:hAnsi="Tahoma"/>
    </w:rPr>
  </w:style>
  <w:style w:type="paragraph" w:customStyle="1" w:styleId="Bang">
    <w:name w:val="Bang"/>
    <w:basedOn w:val="Header"/>
    <w:pPr>
      <w:tabs>
        <w:tab w:val="clear" w:pos="4320"/>
        <w:tab w:val="clear" w:pos="8640"/>
      </w:tabs>
      <w:jc w:val="center"/>
    </w:pPr>
    <w:rPr>
      <w:rFonts w:ascii="Tahoma" w:hAnsi="Tahoma" w:cs="Tahoma"/>
      <w:sz w:val="28"/>
    </w:rPr>
  </w:style>
  <w:style w:type="paragraph" w:customStyle="1" w:styleId="StyleBang10pt">
    <w:name w:val="Style Bang + 10 pt"/>
    <w:basedOn w:val="Bang"/>
    <w:pPr>
      <w:pBdr>
        <w:top w:val="single" w:sz="12" w:space="1" w:color="800000"/>
        <w:left w:val="single" w:sz="12" w:space="4" w:color="800000"/>
        <w:bottom w:val="single" w:sz="12" w:space="1" w:color="800000"/>
        <w:right w:val="single" w:sz="12" w:space="4" w:color="800000"/>
      </w:pBdr>
    </w:pPr>
    <w:rPr>
      <w:sz w:val="20"/>
    </w:rPr>
  </w:style>
  <w:style w:type="character" w:styleId="Hyperlink">
    <w:name w:val="Hyperlink"/>
    <w:uiPriority w:val="99"/>
    <w:rPr>
      <w:color w:val="0000FF"/>
      <w:u w:val="single"/>
    </w:rPr>
  </w:style>
  <w:style w:type="paragraph" w:styleId="BalloonText">
    <w:name w:val="Balloon Text"/>
    <w:basedOn w:val="Normal"/>
    <w:semiHidden/>
    <w:rsid w:val="00AA17EC"/>
    <w:rPr>
      <w:rFonts w:cs="Tahoma"/>
      <w:sz w:val="16"/>
      <w:szCs w:val="16"/>
    </w:rPr>
  </w:style>
  <w:style w:type="paragraph" w:customStyle="1" w:styleId="StyleHeading1H1LatinVerdanaComplexTahomaLatin12">
    <w:name w:val="Style Heading 1H1 + (Latin) Verdana (Complex) Tahoma (Latin) 12 ..."/>
    <w:basedOn w:val="Heading1"/>
    <w:rsid w:val="00A24AEA"/>
    <w:pPr>
      <w:numPr>
        <w:numId w:val="2"/>
      </w:numPr>
    </w:pPr>
    <w:rPr>
      <w:rFonts w:ascii="Verdana" w:hAnsi="Verdana" w:cs="Tahoma"/>
      <w:bCs/>
      <w:iCs/>
      <w:caps/>
      <w:color w:val="800000"/>
    </w:rPr>
  </w:style>
  <w:style w:type="paragraph" w:customStyle="1" w:styleId="StyleHeading2l2VerdanaLatin11ptComplexBoldItalic">
    <w:name w:val="Style Heading 2l2 + Verdana (Latin) 11 pt (Complex) Bold Italic"/>
    <w:basedOn w:val="Heading2"/>
    <w:rsid w:val="00837A19"/>
    <w:pPr>
      <w:numPr>
        <w:numId w:val="2"/>
      </w:numPr>
    </w:pPr>
    <w:rPr>
      <w:rFonts w:ascii="Verdana" w:hAnsi="Verdana"/>
      <w:bCs/>
      <w:i w:val="0"/>
      <w:iCs/>
      <w:color w:val="003300"/>
    </w:rPr>
  </w:style>
  <w:style w:type="paragraph" w:styleId="TOC1">
    <w:name w:val="toc 1"/>
    <w:basedOn w:val="Normal"/>
    <w:next w:val="Normal"/>
    <w:autoRedefine/>
    <w:uiPriority w:val="39"/>
    <w:rsid w:val="00701A89"/>
    <w:pPr>
      <w:tabs>
        <w:tab w:val="left" w:pos="284"/>
        <w:tab w:val="right" w:leader="dot" w:pos="9029"/>
      </w:tabs>
    </w:pPr>
  </w:style>
  <w:style w:type="paragraph" w:styleId="TOC2">
    <w:name w:val="toc 2"/>
    <w:basedOn w:val="Normal"/>
    <w:next w:val="Normal"/>
    <w:autoRedefine/>
    <w:uiPriority w:val="39"/>
    <w:rsid w:val="00B1622D"/>
    <w:pPr>
      <w:tabs>
        <w:tab w:val="left" w:pos="720"/>
        <w:tab w:val="right" w:leader="dot" w:pos="9182"/>
      </w:tabs>
      <w:ind w:left="200"/>
    </w:pPr>
    <w:rPr>
      <w:bCs/>
      <w:i/>
      <w:iCs/>
      <w:noProof/>
    </w:rPr>
  </w:style>
  <w:style w:type="character" w:customStyle="1" w:styleId="text1">
    <w:name w:val="text1"/>
    <w:rsid w:val="00FD656A"/>
    <w:rPr>
      <w:rFonts w:ascii="Verdana" w:hAnsi="Verdana" w:cs="Arial" w:hint="default"/>
      <w:spacing w:val="0"/>
      <w:sz w:val="16"/>
      <w:szCs w:val="16"/>
    </w:rPr>
  </w:style>
  <w:style w:type="character" w:styleId="CommentReference">
    <w:name w:val="annotation reference"/>
    <w:semiHidden/>
    <w:rsid w:val="00613CC3"/>
    <w:rPr>
      <w:sz w:val="16"/>
      <w:szCs w:val="16"/>
    </w:rPr>
  </w:style>
  <w:style w:type="paragraph" w:styleId="CommentText">
    <w:name w:val="annotation text"/>
    <w:basedOn w:val="Normal"/>
    <w:semiHidden/>
    <w:rsid w:val="00613CC3"/>
  </w:style>
  <w:style w:type="paragraph" w:styleId="CommentSubject">
    <w:name w:val="annotation subject"/>
    <w:basedOn w:val="CommentText"/>
    <w:next w:val="CommentText"/>
    <w:semiHidden/>
    <w:rsid w:val="00613CC3"/>
    <w:rPr>
      <w:b/>
      <w:bCs/>
    </w:rPr>
  </w:style>
  <w:style w:type="paragraph" w:customStyle="1" w:styleId="NormalH">
    <w:name w:val="NormalH"/>
    <w:basedOn w:val="Normal"/>
    <w:autoRedefine/>
    <w:rsid w:val="00612FEB"/>
    <w:pPr>
      <w:keepNext/>
      <w:keepLines/>
      <w:pageBreakBefore/>
      <w:spacing w:after="240"/>
    </w:pPr>
    <w:rPr>
      <w:b/>
      <w:bCs/>
      <w:caps/>
      <w:color w:val="003300"/>
      <w:spacing w:val="-10"/>
      <w:kern w:val="28"/>
      <w:sz w:val="24"/>
      <w:szCs w:val="24"/>
    </w:rPr>
  </w:style>
  <w:style w:type="paragraph" w:customStyle="1" w:styleId="StyleBangheaderLeft006cm">
    <w:name w:val="Style Bangheader + Left:  006 cm"/>
    <w:basedOn w:val="Normal"/>
    <w:autoRedefine/>
    <w:rsid w:val="004F16A5"/>
    <w:pPr>
      <w:tabs>
        <w:tab w:val="left" w:pos="630"/>
      </w:tabs>
      <w:spacing w:before="80" w:after="80"/>
      <w:ind w:left="34"/>
      <w:jc w:val="center"/>
    </w:pPr>
    <w:rPr>
      <w:rFonts w:eastAsia="Times New Roman"/>
      <w:b/>
      <w:bCs/>
      <w:spacing w:val="-6"/>
      <w:sz w:val="18"/>
      <w:szCs w:val="18"/>
      <w:lang w:val="en-GB"/>
    </w:rPr>
  </w:style>
  <w:style w:type="paragraph" w:customStyle="1" w:styleId="StyleBangLeft006cm">
    <w:name w:val="Style Bang + Left:  006 cm"/>
    <w:basedOn w:val="Bang"/>
    <w:autoRedefine/>
    <w:rsid w:val="00263F5C"/>
    <w:pPr>
      <w:tabs>
        <w:tab w:val="left" w:pos="630"/>
      </w:tabs>
      <w:spacing w:before="80" w:after="80"/>
      <w:jc w:val="left"/>
    </w:pPr>
    <w:rPr>
      <w:rFonts w:ascii="Arial" w:eastAsia="Times New Roman" w:hAnsi="Arial" w:cs="Times New Roman"/>
      <w:b/>
      <w:iCs/>
      <w:spacing w:val="-6"/>
      <w:sz w:val="18"/>
      <w:szCs w:val="18"/>
      <w:lang w:val="en-GB"/>
    </w:rPr>
  </w:style>
  <w:style w:type="paragraph" w:customStyle="1" w:styleId="Bangheader8pt">
    <w:name w:val="Bangheader + 8 pt"/>
    <w:aliases w:val="(Complex) Italic,Auto,Left,Before:  4 pt,After:  4 pt,..."/>
    <w:basedOn w:val="Normal"/>
    <w:rsid w:val="003828ED"/>
    <w:pPr>
      <w:autoSpaceDE w:val="0"/>
      <w:autoSpaceDN w:val="0"/>
      <w:spacing w:before="80" w:after="80" w:line="240" w:lineRule="auto"/>
      <w:outlineLvl w:val="6"/>
    </w:pPr>
    <w:rPr>
      <w:rFonts w:cs="Tahoma"/>
      <w:b/>
      <w:iCs/>
      <w:sz w:val="16"/>
      <w:szCs w:val="16"/>
    </w:rPr>
  </w:style>
  <w:style w:type="paragraph" w:customStyle="1" w:styleId="bang0">
    <w:name w:val="bang"/>
    <w:basedOn w:val="Normal"/>
    <w:autoRedefine/>
    <w:rsid w:val="003828ED"/>
    <w:pPr>
      <w:autoSpaceDE w:val="0"/>
      <w:autoSpaceDN w:val="0"/>
      <w:spacing w:before="80" w:after="80" w:line="240" w:lineRule="auto"/>
    </w:pPr>
    <w:rPr>
      <w:rFonts w:cs="Arial"/>
      <w:sz w:val="18"/>
      <w:szCs w:val="16"/>
    </w:rPr>
  </w:style>
  <w:style w:type="paragraph" w:customStyle="1" w:styleId="StyleBangLatinArial9ptLeftLeft0Before4ptA">
    <w:name w:val="Style Bang + (Latin) Arial 9 pt Left Left:  0&quot; Before:  4 pt A..."/>
    <w:basedOn w:val="Bang"/>
    <w:rsid w:val="00AF200C"/>
    <w:pPr>
      <w:spacing w:before="80" w:after="80"/>
      <w:jc w:val="left"/>
    </w:pPr>
    <w:rPr>
      <w:rFonts w:ascii="Arial" w:eastAsia="Times New Roman" w:hAnsi="Arial" w:cs="Times New Roman"/>
      <w:sz w:val="18"/>
    </w:rPr>
  </w:style>
  <w:style w:type="paragraph" w:styleId="BodyText">
    <w:name w:val="Body Text"/>
    <w:basedOn w:val="Normal"/>
    <w:link w:val="BodyTextChar"/>
    <w:rsid w:val="00ED6E77"/>
    <w:pPr>
      <w:spacing w:after="120"/>
    </w:pPr>
  </w:style>
  <w:style w:type="character" w:customStyle="1" w:styleId="BodyTextChar">
    <w:name w:val="Body Text Char"/>
    <w:link w:val="BodyText"/>
    <w:rsid w:val="00ED6E77"/>
    <w:rPr>
      <w:rFonts w:ascii="Arial" w:hAnsi="Arial"/>
    </w:rPr>
  </w:style>
  <w:style w:type="paragraph" w:customStyle="1" w:styleId="Bangheader">
    <w:name w:val="Bangheader"/>
    <w:basedOn w:val="Normal"/>
    <w:autoRedefine/>
    <w:rsid w:val="008629FB"/>
    <w:pPr>
      <w:tabs>
        <w:tab w:val="left" w:pos="630"/>
      </w:tabs>
      <w:spacing w:before="80" w:after="80"/>
      <w:jc w:val="center"/>
    </w:pPr>
    <w:rPr>
      <w:rFonts w:cs="Arial"/>
      <w:b/>
      <w:spacing w:val="-6"/>
      <w:sz w:val="18"/>
      <w:szCs w:val="18"/>
      <w:lang w:val="en-GB"/>
    </w:rPr>
  </w:style>
  <w:style w:type="paragraph" w:customStyle="1" w:styleId="NormalText">
    <w:name w:val="NormalText"/>
    <w:rsid w:val="008629FB"/>
    <w:pPr>
      <w:autoSpaceDE w:val="0"/>
      <w:autoSpaceDN w:val="0"/>
      <w:spacing w:before="120"/>
      <w:ind w:left="720"/>
    </w:pPr>
    <w:rPr>
      <w:rFonts w:ascii=".VnTime" w:hAnsi=".VnTime"/>
      <w:noProof/>
      <w:sz w:val="24"/>
      <w:szCs w:val="24"/>
    </w:rPr>
  </w:style>
  <w:style w:type="paragraph" w:styleId="EndnoteText">
    <w:name w:val="endnote text"/>
    <w:basedOn w:val="Normal"/>
    <w:link w:val="EndnoteTextChar"/>
    <w:rsid w:val="0066353E"/>
  </w:style>
  <w:style w:type="character" w:customStyle="1" w:styleId="EndnoteTextChar">
    <w:name w:val="Endnote Text Char"/>
    <w:link w:val="EndnoteText"/>
    <w:rsid w:val="0066353E"/>
    <w:rPr>
      <w:rFonts w:ascii="Arial" w:hAnsi="Arial"/>
    </w:rPr>
  </w:style>
  <w:style w:type="character" w:styleId="EndnoteReference">
    <w:name w:val="endnote reference"/>
    <w:rsid w:val="0066353E"/>
    <w:rPr>
      <w:vertAlign w:val="superscript"/>
    </w:rPr>
  </w:style>
  <w:style w:type="paragraph" w:customStyle="1" w:styleId="2">
    <w:name w:val="標題 2 內文"/>
    <w:basedOn w:val="Normal"/>
    <w:qFormat/>
    <w:rsid w:val="005A24AD"/>
    <w:pPr>
      <w:widowControl w:val="0"/>
      <w:spacing w:beforeLines="30" w:before="30" w:afterLines="30" w:after="30" w:line="240" w:lineRule="auto"/>
      <w:ind w:leftChars="400" w:left="400"/>
      <w:jc w:val="both"/>
    </w:pPr>
    <w:rPr>
      <w:rFonts w:ascii="Calibri" w:eastAsia="PMingLiU" w:hAnsi="Calibri" w:cs="PMingLiU"/>
      <w:kern w:val="2"/>
      <w:sz w:val="24"/>
      <w:lang w:eastAsia="zh-TW"/>
    </w:rPr>
  </w:style>
  <w:style w:type="paragraph" w:customStyle="1" w:styleId="a">
    <w:name w:val="表格 標題 置中"/>
    <w:basedOn w:val="Normal"/>
    <w:qFormat/>
    <w:rsid w:val="005A24AD"/>
    <w:pPr>
      <w:widowControl w:val="0"/>
      <w:spacing w:beforeLines="50" w:before="180" w:afterLines="50" w:after="180" w:line="276" w:lineRule="auto"/>
      <w:jc w:val="center"/>
    </w:pPr>
    <w:rPr>
      <w:rFonts w:ascii="Calibri" w:eastAsia="PMingLiU" w:hAnsi="Calibri"/>
      <w:b/>
      <w:kern w:val="2"/>
      <w:sz w:val="24"/>
      <w:szCs w:val="24"/>
      <w:lang w:eastAsia="zh-TW"/>
    </w:rPr>
  </w:style>
  <w:style w:type="paragraph" w:customStyle="1" w:styleId="4">
    <w:name w:val="標題.4"/>
    <w:basedOn w:val="Normal"/>
    <w:qFormat/>
    <w:rsid w:val="005A24AD"/>
    <w:pPr>
      <w:widowControl w:val="0"/>
      <w:tabs>
        <w:tab w:val="num" w:pos="2461"/>
      </w:tabs>
      <w:spacing w:beforeLines="30" w:before="108" w:afterLines="30" w:after="108" w:line="240" w:lineRule="auto"/>
      <w:ind w:left="2461" w:hanging="760"/>
      <w:outlineLvl w:val="3"/>
    </w:pPr>
    <w:rPr>
      <w:rFonts w:ascii="Calibri" w:eastAsia="PMingLiU" w:hAnsi="Calibri" w:cs="PMingLiU"/>
      <w:kern w:val="2"/>
      <w:sz w:val="24"/>
      <w:lang w:eastAsia="zh-TW"/>
    </w:rPr>
  </w:style>
  <w:style w:type="paragraph" w:styleId="TOC3">
    <w:name w:val="toc 3"/>
    <w:basedOn w:val="Normal"/>
    <w:next w:val="Normal"/>
    <w:autoRedefine/>
    <w:uiPriority w:val="39"/>
    <w:unhideWhenUsed/>
    <w:rsid w:val="0065673D"/>
    <w:pPr>
      <w:spacing w:after="100"/>
      <w:ind w:left="400"/>
    </w:pPr>
  </w:style>
  <w:style w:type="character" w:customStyle="1" w:styleId="notranslate">
    <w:name w:val="notranslate"/>
    <w:basedOn w:val="DefaultParagraphFont"/>
    <w:rsid w:val="0065673D"/>
  </w:style>
  <w:style w:type="paragraph" w:customStyle="1" w:styleId="1Calibri55125li35">
    <w:name w:val="標題 1 內文 樣式 樣式 樣式 Calibri 左右對齊 套用前:  5 點 套用後:  5 點 行距:  多行 1.25 li 左 3.5 ..."/>
    <w:basedOn w:val="Normal"/>
    <w:rsid w:val="005C17B9"/>
    <w:pPr>
      <w:widowControl w:val="0"/>
      <w:spacing w:beforeLines="30" w:before="30" w:afterLines="30" w:after="30" w:line="240" w:lineRule="auto"/>
      <w:ind w:leftChars="325" w:left="325"/>
      <w:jc w:val="both"/>
    </w:pPr>
    <w:rPr>
      <w:rFonts w:ascii="Calibri" w:eastAsia="PMingLiU" w:hAnsi="Calibri" w:cs="PMingLiU"/>
      <w:kern w:val="2"/>
      <w:sz w:val="24"/>
      <w:lang w:eastAsia="zh-TW"/>
    </w:rPr>
  </w:style>
  <w:style w:type="paragraph" w:customStyle="1" w:styleId="3">
    <w:name w:val="標題 3 內文"/>
    <w:basedOn w:val="2"/>
    <w:qFormat/>
    <w:rsid w:val="005C17B9"/>
    <w:pPr>
      <w:spacing w:before="108" w:after="108"/>
      <w:ind w:leftChars="700" w:left="1680"/>
    </w:pPr>
  </w:style>
  <w:style w:type="character" w:customStyle="1" w:styleId="Heading2Char">
    <w:name w:val="Heading 2 Char"/>
    <w:aliases w:val="l2 Char,H2 Char"/>
    <w:basedOn w:val="DefaultParagraphFont"/>
    <w:link w:val="Heading2"/>
    <w:rsid w:val="00D13747"/>
    <w:rPr>
      <w:rFonts w:ascii="Arial" w:hAnsi="Arial"/>
      <w:b/>
      <w:i/>
      <w:spacing w:val="-10"/>
      <w:kern w:val="28"/>
      <w:sz w:val="22"/>
    </w:rPr>
  </w:style>
  <w:style w:type="paragraph" w:customStyle="1" w:styleId="Default">
    <w:name w:val="Default"/>
    <w:rsid w:val="006D2646"/>
    <w:pPr>
      <w:widowControl w:val="0"/>
      <w:autoSpaceDE w:val="0"/>
      <w:autoSpaceDN w:val="0"/>
      <w:adjustRightInd w:val="0"/>
    </w:pPr>
    <w:rPr>
      <w:rFonts w:ascii="EUAlbertina" w:eastAsia="EUAlbertina" w:hAnsiTheme="minorHAnsi" w:cs="EUAlbertina"/>
      <w:color w:val="000000"/>
      <w:sz w:val="24"/>
      <w:szCs w:val="24"/>
    </w:rPr>
  </w:style>
  <w:style w:type="paragraph" w:styleId="ListParagraph">
    <w:name w:val="List Paragraph"/>
    <w:basedOn w:val="Normal"/>
    <w:uiPriority w:val="99"/>
    <w:qFormat/>
    <w:rsid w:val="00457D8D"/>
    <w:pPr>
      <w:ind w:left="720"/>
      <w:contextualSpacing/>
    </w:pPr>
  </w:style>
  <w:style w:type="character" w:customStyle="1" w:styleId="Heading1Char">
    <w:name w:val="Heading 1 Char"/>
    <w:aliases w:val="H1 Char"/>
    <w:basedOn w:val="DefaultParagraphFont"/>
    <w:link w:val="Heading1"/>
    <w:rsid w:val="00CD79A8"/>
    <w:rPr>
      <w:rFonts w:ascii="Arial" w:hAnsi="Arial"/>
      <w:b/>
      <w:spacing w:val="-10"/>
      <w:kern w:val="28"/>
      <w:sz w:val="24"/>
    </w:rPr>
  </w:style>
  <w:style w:type="character" w:customStyle="1" w:styleId="Heading3Char">
    <w:name w:val="Heading 3 Char"/>
    <w:aliases w:val="標題.3 Char"/>
    <w:basedOn w:val="DefaultParagraphFont"/>
    <w:link w:val="Heading3"/>
    <w:rsid w:val="00CD79A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9588">
      <w:bodyDiv w:val="1"/>
      <w:marLeft w:val="0"/>
      <w:marRight w:val="0"/>
      <w:marTop w:val="0"/>
      <w:marBottom w:val="0"/>
      <w:divBdr>
        <w:top w:val="none" w:sz="0" w:space="0" w:color="auto"/>
        <w:left w:val="none" w:sz="0" w:space="0" w:color="auto"/>
        <w:bottom w:val="none" w:sz="0" w:space="0" w:color="auto"/>
        <w:right w:val="none" w:sz="0" w:space="0" w:color="auto"/>
      </w:divBdr>
    </w:div>
    <w:div w:id="585119476">
      <w:bodyDiv w:val="1"/>
      <w:marLeft w:val="0"/>
      <w:marRight w:val="0"/>
      <w:marTop w:val="0"/>
      <w:marBottom w:val="0"/>
      <w:divBdr>
        <w:top w:val="none" w:sz="0" w:space="0" w:color="auto"/>
        <w:left w:val="none" w:sz="0" w:space="0" w:color="auto"/>
        <w:bottom w:val="none" w:sz="0" w:space="0" w:color="auto"/>
        <w:right w:val="none" w:sz="0" w:space="0" w:color="auto"/>
      </w:divBdr>
    </w:div>
    <w:div w:id="906764325">
      <w:bodyDiv w:val="1"/>
      <w:marLeft w:val="0"/>
      <w:marRight w:val="0"/>
      <w:marTop w:val="0"/>
      <w:marBottom w:val="0"/>
      <w:divBdr>
        <w:top w:val="none" w:sz="0" w:space="0" w:color="auto"/>
        <w:left w:val="none" w:sz="0" w:space="0" w:color="auto"/>
        <w:bottom w:val="none" w:sz="0" w:space="0" w:color="auto"/>
        <w:right w:val="none" w:sz="0" w:space="0" w:color="auto"/>
      </w:divBdr>
    </w:div>
    <w:div w:id="1293243872">
      <w:bodyDiv w:val="1"/>
      <w:marLeft w:val="0"/>
      <w:marRight w:val="0"/>
      <w:marTop w:val="0"/>
      <w:marBottom w:val="0"/>
      <w:divBdr>
        <w:top w:val="none" w:sz="0" w:space="0" w:color="auto"/>
        <w:left w:val="none" w:sz="0" w:space="0" w:color="auto"/>
        <w:bottom w:val="none" w:sz="0" w:space="0" w:color="auto"/>
        <w:right w:val="none" w:sz="0" w:space="0" w:color="auto"/>
      </w:divBdr>
    </w:div>
    <w:div w:id="1295677450">
      <w:bodyDiv w:val="1"/>
      <w:marLeft w:val="0"/>
      <w:marRight w:val="0"/>
      <w:marTop w:val="0"/>
      <w:marBottom w:val="0"/>
      <w:divBdr>
        <w:top w:val="none" w:sz="0" w:space="0" w:color="auto"/>
        <w:left w:val="none" w:sz="0" w:space="0" w:color="auto"/>
        <w:bottom w:val="none" w:sz="0" w:space="0" w:color="auto"/>
        <w:right w:val="none" w:sz="0" w:space="0" w:color="auto"/>
      </w:divBdr>
    </w:div>
    <w:div w:id="13900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imperva.com/learn/wp-content/uploads/sites/13/2019/03/Personally-Identifiable-Information-PII.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tt\Downloads\Document_send%20to%20Mr.Nhut\Document\Template_Guideline%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7169-497D-4B2D-A0ED-E7AB9A6A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Template_Guideline Description</Template>
  <TotalTime>132</TotalTime>
  <Pages>1</Pages>
  <Words>5172</Words>
  <Characters>29484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Guideline Description</vt:lpstr>
    </vt:vector>
  </TitlesOfParts>
  <Manager>KhacDV@fsoft.com.vn</Manager>
  <Company>FPT Software</Company>
  <LinksUpToDate>false</LinksUpToDate>
  <CharactersWithSpaces>34587</CharactersWithSpaces>
  <SharedDoc>false</SharedDoc>
  <HLinks>
    <vt:vector size="54" baseType="variant">
      <vt:variant>
        <vt:i4>1179702</vt:i4>
      </vt:variant>
      <vt:variant>
        <vt:i4>50</vt:i4>
      </vt:variant>
      <vt:variant>
        <vt:i4>0</vt:i4>
      </vt:variant>
      <vt:variant>
        <vt:i4>5</vt:i4>
      </vt:variant>
      <vt:variant>
        <vt:lpwstr/>
      </vt:variant>
      <vt:variant>
        <vt:lpwstr>_Toc450035157</vt:lpwstr>
      </vt:variant>
      <vt:variant>
        <vt:i4>1179702</vt:i4>
      </vt:variant>
      <vt:variant>
        <vt:i4>44</vt:i4>
      </vt:variant>
      <vt:variant>
        <vt:i4>0</vt:i4>
      </vt:variant>
      <vt:variant>
        <vt:i4>5</vt:i4>
      </vt:variant>
      <vt:variant>
        <vt:lpwstr/>
      </vt:variant>
      <vt:variant>
        <vt:lpwstr>_Toc450035156</vt:lpwstr>
      </vt:variant>
      <vt:variant>
        <vt:i4>1179702</vt:i4>
      </vt:variant>
      <vt:variant>
        <vt:i4>38</vt:i4>
      </vt:variant>
      <vt:variant>
        <vt:i4>0</vt:i4>
      </vt:variant>
      <vt:variant>
        <vt:i4>5</vt:i4>
      </vt:variant>
      <vt:variant>
        <vt:lpwstr/>
      </vt:variant>
      <vt:variant>
        <vt:lpwstr>_Toc450035155</vt:lpwstr>
      </vt:variant>
      <vt:variant>
        <vt:i4>1179702</vt:i4>
      </vt:variant>
      <vt:variant>
        <vt:i4>32</vt:i4>
      </vt:variant>
      <vt:variant>
        <vt:i4>0</vt:i4>
      </vt:variant>
      <vt:variant>
        <vt:i4>5</vt:i4>
      </vt:variant>
      <vt:variant>
        <vt:lpwstr/>
      </vt:variant>
      <vt:variant>
        <vt:lpwstr>_Toc450035154</vt:lpwstr>
      </vt:variant>
      <vt:variant>
        <vt:i4>1179702</vt:i4>
      </vt:variant>
      <vt:variant>
        <vt:i4>26</vt:i4>
      </vt:variant>
      <vt:variant>
        <vt:i4>0</vt:i4>
      </vt:variant>
      <vt:variant>
        <vt:i4>5</vt:i4>
      </vt:variant>
      <vt:variant>
        <vt:lpwstr/>
      </vt:variant>
      <vt:variant>
        <vt:lpwstr>_Toc450035153</vt:lpwstr>
      </vt:variant>
      <vt:variant>
        <vt:i4>1179702</vt:i4>
      </vt:variant>
      <vt:variant>
        <vt:i4>20</vt:i4>
      </vt:variant>
      <vt:variant>
        <vt:i4>0</vt:i4>
      </vt:variant>
      <vt:variant>
        <vt:i4>5</vt:i4>
      </vt:variant>
      <vt:variant>
        <vt:lpwstr/>
      </vt:variant>
      <vt:variant>
        <vt:lpwstr>_Toc450035152</vt:lpwstr>
      </vt:variant>
      <vt:variant>
        <vt:i4>1179702</vt:i4>
      </vt:variant>
      <vt:variant>
        <vt:i4>14</vt:i4>
      </vt:variant>
      <vt:variant>
        <vt:i4>0</vt:i4>
      </vt:variant>
      <vt:variant>
        <vt:i4>5</vt:i4>
      </vt:variant>
      <vt:variant>
        <vt:lpwstr/>
      </vt:variant>
      <vt:variant>
        <vt:lpwstr>_Toc450035151</vt:lpwstr>
      </vt:variant>
      <vt:variant>
        <vt:i4>1179702</vt:i4>
      </vt:variant>
      <vt:variant>
        <vt:i4>8</vt:i4>
      </vt:variant>
      <vt:variant>
        <vt:i4>0</vt:i4>
      </vt:variant>
      <vt:variant>
        <vt:i4>5</vt:i4>
      </vt:variant>
      <vt:variant>
        <vt:lpwstr/>
      </vt:variant>
      <vt:variant>
        <vt:lpwstr>_Toc450035150</vt:lpwstr>
      </vt:variant>
      <vt:variant>
        <vt:i4>1245238</vt:i4>
      </vt:variant>
      <vt:variant>
        <vt:i4>2</vt:i4>
      </vt:variant>
      <vt:variant>
        <vt:i4>0</vt:i4>
      </vt:variant>
      <vt:variant>
        <vt:i4>5</vt:i4>
      </vt:variant>
      <vt:variant>
        <vt:lpwstr/>
      </vt:variant>
      <vt:variant>
        <vt:lpwstr>_Toc450035149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Description</dc:title>
  <dc:subject>v 1/2</dc:subject>
  <dc:creator>Trinh Thi Hien (IT.ISM)</dc:creator>
  <dc:description>Newly issue</dc:description>
  <cp:lastModifiedBy>Do Thi Dieu Linh (FHO.LRC)</cp:lastModifiedBy>
  <cp:revision>16</cp:revision>
  <cp:lastPrinted>2010-10-01T09:12:00Z</cp:lastPrinted>
  <dcterms:created xsi:type="dcterms:W3CDTF">2022-10-25T03:36:00Z</dcterms:created>
  <dcterms:modified xsi:type="dcterms:W3CDTF">2022-11-23T07:09:00Z</dcterms:modified>
  <cp:category>Template</cp:category>
</cp:coreProperties>
</file>