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7ACC" w14:textId="77777777" w:rsidR="00AA17EC" w:rsidRPr="0064231A" w:rsidRDefault="00AA17EC" w:rsidP="00892FBC">
      <w:pPr>
        <w:rPr>
          <w:rFonts w:cs="Arial"/>
          <w:sz w:val="28"/>
        </w:rPr>
      </w:pPr>
    </w:p>
    <w:p w14:paraId="103ED09C" w14:textId="77777777" w:rsidR="00AA17EC" w:rsidRPr="0064231A" w:rsidRDefault="0064231A" w:rsidP="0064231A">
      <w:pPr>
        <w:jc w:val="center"/>
        <w:rPr>
          <w:rFonts w:cs="Arial"/>
        </w:rPr>
      </w:pPr>
      <w:r w:rsidRPr="002074DC">
        <w:rPr>
          <w:rFonts w:cs="Arial"/>
          <w:noProof/>
        </w:rPr>
        <w:drawing>
          <wp:inline distT="0" distB="0" distL="0" distR="0" wp14:anchorId="6C5A948C" wp14:editId="6A01BB8A">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54D5A4BF" w14:textId="77777777" w:rsidR="00AA17EC" w:rsidRPr="0064231A" w:rsidRDefault="00AA17EC" w:rsidP="00892FBC">
      <w:pPr>
        <w:rPr>
          <w:rFonts w:cs="Arial"/>
        </w:rPr>
      </w:pPr>
    </w:p>
    <w:p w14:paraId="231E1672" w14:textId="77777777" w:rsidR="00AA17EC" w:rsidRPr="0064231A" w:rsidRDefault="00AA17EC" w:rsidP="00892FBC">
      <w:pPr>
        <w:rPr>
          <w:rFonts w:cs="Arial"/>
        </w:rPr>
      </w:pPr>
    </w:p>
    <w:p w14:paraId="544FCBD6" w14:textId="77777777" w:rsidR="001B0548" w:rsidRPr="0064231A" w:rsidRDefault="001B0548" w:rsidP="00892FBC">
      <w:pPr>
        <w:rPr>
          <w:rFonts w:cs="Arial"/>
        </w:rPr>
      </w:pPr>
    </w:p>
    <w:p w14:paraId="144BA1F8" w14:textId="77777777" w:rsidR="001B0548" w:rsidRPr="0064231A" w:rsidRDefault="001B0548" w:rsidP="00892FBC">
      <w:pPr>
        <w:rPr>
          <w:rFonts w:cs="Arial"/>
        </w:rPr>
      </w:pPr>
    </w:p>
    <w:p w14:paraId="349156AD" w14:textId="23FB7B93" w:rsidR="00AA17EC" w:rsidRPr="001D6E77" w:rsidRDefault="000F709B" w:rsidP="002316F0">
      <w:pPr>
        <w:spacing w:before="240"/>
        <w:jc w:val="center"/>
        <w:rPr>
          <w:rFonts w:eastAsia="Times New Roman" w:cs="Arial"/>
          <w:b/>
          <w:i/>
          <w:color w:val="AC0000"/>
          <w:spacing w:val="40"/>
          <w:sz w:val="36"/>
          <w:szCs w:val="36"/>
          <w:lang w:val="en-AU"/>
        </w:rPr>
      </w:pPr>
      <w:r w:rsidRPr="001D6E77">
        <w:rPr>
          <w:rFonts w:eastAsia="Times New Roman" w:cs="Arial"/>
          <w:b/>
          <w:i/>
          <w:color w:val="AC0000"/>
          <w:spacing w:val="40"/>
          <w:sz w:val="36"/>
          <w:szCs w:val="36"/>
          <w:lang w:val="en-AU"/>
        </w:rPr>
        <w:t>Guideline</w:t>
      </w:r>
    </w:p>
    <w:p w14:paraId="486A80F8" w14:textId="0D2BB122" w:rsidR="00E73FE5" w:rsidRPr="001D6E77" w:rsidRDefault="00B06BD8" w:rsidP="00E73FE5">
      <w:pPr>
        <w:spacing w:before="240"/>
        <w:jc w:val="center"/>
        <w:rPr>
          <w:rFonts w:eastAsia="Times New Roman" w:cs="Arial"/>
          <w:b/>
          <w:color w:val="AC0000"/>
          <w:sz w:val="42"/>
          <w:szCs w:val="42"/>
          <w:lang w:val="en-AU"/>
        </w:rPr>
      </w:pPr>
      <w:r w:rsidRPr="001D6E77">
        <w:rPr>
          <w:rFonts w:eastAsia="Times New Roman" w:cs="Arial"/>
          <w:b/>
          <w:color w:val="AC0000"/>
          <w:sz w:val="42"/>
          <w:szCs w:val="42"/>
          <w:lang w:val="en-AU"/>
        </w:rPr>
        <w:t>C</w:t>
      </w:r>
      <w:r w:rsidR="000F709B" w:rsidRPr="001D6E77">
        <w:rPr>
          <w:rFonts w:eastAsia="Times New Roman" w:cs="Arial"/>
          <w:b/>
          <w:color w:val="AC0000"/>
          <w:sz w:val="42"/>
          <w:szCs w:val="42"/>
          <w:lang w:val="en-AU"/>
        </w:rPr>
        <w:t xml:space="preserve">OMPLAINTS AND APPEALS </w:t>
      </w:r>
      <w:r w:rsidR="008C5E0F" w:rsidRPr="001D6E77">
        <w:rPr>
          <w:rFonts w:eastAsia="Times New Roman" w:cs="Arial"/>
          <w:b/>
          <w:color w:val="AC0000"/>
          <w:sz w:val="42"/>
          <w:szCs w:val="42"/>
          <w:lang w:val="en-AU"/>
        </w:rPr>
        <w:t>HANDLING</w:t>
      </w:r>
      <w:r w:rsidR="000F709B" w:rsidRPr="001D6E77">
        <w:rPr>
          <w:rFonts w:eastAsia="Times New Roman" w:cs="Arial"/>
          <w:b/>
          <w:color w:val="AC0000"/>
          <w:sz w:val="42"/>
          <w:szCs w:val="42"/>
          <w:lang w:val="en-AU"/>
        </w:rPr>
        <w:t>,</w:t>
      </w:r>
      <w:r w:rsidR="00E73FE5" w:rsidRPr="001D6E77">
        <w:rPr>
          <w:rFonts w:eastAsia="Times New Roman" w:cs="Arial"/>
          <w:b/>
          <w:color w:val="AC0000"/>
          <w:sz w:val="42"/>
          <w:szCs w:val="42"/>
          <w:lang w:val="en-AU"/>
        </w:rPr>
        <w:br/>
      </w:r>
      <w:r w:rsidR="000F709B" w:rsidRPr="001D6E77">
        <w:rPr>
          <w:rFonts w:eastAsia="Times New Roman" w:cs="Arial"/>
          <w:b/>
          <w:color w:val="AC0000"/>
          <w:sz w:val="42"/>
          <w:szCs w:val="42"/>
          <w:lang w:val="en-AU"/>
        </w:rPr>
        <w:t>DATA SUBJECT RIGHTS EXERCISE</w:t>
      </w:r>
    </w:p>
    <w:p w14:paraId="7272F130" w14:textId="77777777" w:rsidR="00AA17EC" w:rsidRDefault="00AA17EC" w:rsidP="00892FBC">
      <w:pPr>
        <w:rPr>
          <w:rFonts w:cs="Arial"/>
        </w:rPr>
      </w:pPr>
    </w:p>
    <w:p w14:paraId="3E9BC5E9" w14:textId="77777777" w:rsidR="0064231A" w:rsidRPr="0064231A" w:rsidRDefault="0064231A" w:rsidP="00892FBC">
      <w:pPr>
        <w:rPr>
          <w:rFonts w:cs="Arial"/>
        </w:rPr>
      </w:pPr>
    </w:p>
    <w:tbl>
      <w:tblPr>
        <w:tblW w:w="0" w:type="auto"/>
        <w:jc w:val="center"/>
        <w:tblLayout w:type="fixed"/>
        <w:tblLook w:val="0000" w:firstRow="0" w:lastRow="0" w:firstColumn="0" w:lastColumn="0" w:noHBand="0" w:noVBand="0"/>
      </w:tblPr>
      <w:tblGrid>
        <w:gridCol w:w="3156"/>
        <w:gridCol w:w="3287"/>
      </w:tblGrid>
      <w:tr w:rsidR="00AA17EC" w:rsidRPr="00845AD5" w14:paraId="4D3E789F"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79043EB4" w14:textId="2BFC525B" w:rsidR="00AA17EC" w:rsidRPr="00845AD5" w:rsidRDefault="000F709B" w:rsidP="00892FBC">
            <w:pPr>
              <w:pStyle w:val="HeadingLv1"/>
              <w:rPr>
                <w:rFonts w:ascii="Arial" w:hAnsi="Arial" w:cs="Arial"/>
                <w:szCs w:val="20"/>
              </w:rPr>
            </w:pPr>
            <w:r w:rsidRPr="00845AD5">
              <w:rPr>
                <w:rFonts w:ascii="Arial" w:hAnsi="Arial" w:cs="Arial"/>
                <w:szCs w:val="20"/>
              </w:rPr>
              <w:t xml:space="preserve">Document </w:t>
            </w:r>
            <w:r w:rsidR="00AA17EC" w:rsidRPr="00845AD5">
              <w:rPr>
                <w:rFonts w:ascii="Arial" w:hAnsi="Arial" w:cs="Arial"/>
                <w:szCs w:val="20"/>
              </w:rPr>
              <w:t>Code</w:t>
            </w:r>
          </w:p>
        </w:tc>
        <w:tc>
          <w:tcPr>
            <w:tcW w:w="3287" w:type="dxa"/>
            <w:tcBorders>
              <w:top w:val="nil"/>
              <w:left w:val="single" w:sz="8" w:space="0" w:color="auto"/>
              <w:bottom w:val="single" w:sz="8" w:space="0" w:color="auto"/>
              <w:right w:val="nil"/>
            </w:tcBorders>
            <w:shd w:val="clear" w:color="auto" w:fill="D9D9D9"/>
          </w:tcPr>
          <w:p w14:paraId="32E66F09" w14:textId="796A259D" w:rsidR="00AA17EC" w:rsidRPr="00845AD5" w:rsidRDefault="000B27ED" w:rsidP="001D6E77">
            <w:pPr>
              <w:pStyle w:val="HeadingLv2"/>
              <w:rPr>
                <w:lang w:val="de-DE"/>
              </w:rPr>
            </w:pPr>
            <w:r w:rsidRPr="00845AD5">
              <w:t>03e-HD/SG/HDCV/FSOFT</w:t>
            </w:r>
          </w:p>
        </w:tc>
      </w:tr>
      <w:tr w:rsidR="00AA17EC" w:rsidRPr="00845AD5" w14:paraId="389755B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70A6491F" w14:textId="77777777" w:rsidR="00AA17EC" w:rsidRPr="00845AD5" w:rsidRDefault="00186722" w:rsidP="00892FBC">
            <w:pPr>
              <w:pStyle w:val="HeadingLv1"/>
              <w:rPr>
                <w:rFonts w:ascii="Arial" w:hAnsi="Arial" w:cs="Arial"/>
                <w:szCs w:val="20"/>
              </w:rPr>
            </w:pPr>
            <w:r w:rsidRPr="00845AD5">
              <w:rPr>
                <w:rFonts w:ascii="Arial" w:hAnsi="Arial" w:cs="Arial"/>
                <w:szCs w:val="20"/>
              </w:rPr>
              <w:t>Version</w:t>
            </w:r>
          </w:p>
        </w:tc>
        <w:tc>
          <w:tcPr>
            <w:tcW w:w="3287" w:type="dxa"/>
            <w:tcBorders>
              <w:top w:val="single" w:sz="8" w:space="0" w:color="auto"/>
              <w:left w:val="single" w:sz="8" w:space="0" w:color="auto"/>
              <w:bottom w:val="single" w:sz="8" w:space="0" w:color="auto"/>
              <w:right w:val="nil"/>
            </w:tcBorders>
            <w:shd w:val="clear" w:color="auto" w:fill="D9D9D9"/>
          </w:tcPr>
          <w:p w14:paraId="3650108A" w14:textId="283BA456" w:rsidR="00AA17EC" w:rsidRPr="00845AD5" w:rsidRDefault="00200739" w:rsidP="001D6E77">
            <w:pPr>
              <w:pStyle w:val="HeadingLv2"/>
            </w:pPr>
            <w:r>
              <w:rPr>
                <w:lang w:val="de-DE"/>
              </w:rPr>
              <w:t>3.</w:t>
            </w:r>
            <w:r w:rsidR="00935AE6">
              <w:rPr>
                <w:lang w:val="de-DE"/>
              </w:rPr>
              <w:t>3</w:t>
            </w:r>
          </w:p>
        </w:tc>
      </w:tr>
      <w:tr w:rsidR="00AA17EC" w:rsidRPr="00845AD5" w14:paraId="79261561"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20C08103" w14:textId="77777777" w:rsidR="00AA17EC" w:rsidRPr="00845AD5" w:rsidRDefault="00AA17EC" w:rsidP="00892FBC">
            <w:pPr>
              <w:pStyle w:val="HeadingLv1"/>
              <w:rPr>
                <w:rFonts w:ascii="Arial" w:hAnsi="Arial" w:cs="Arial"/>
                <w:szCs w:val="20"/>
              </w:rPr>
            </w:pPr>
            <w:r w:rsidRPr="00845AD5">
              <w:rPr>
                <w:rFonts w:ascii="Arial" w:hAnsi="Arial" w:cs="Arial"/>
                <w:szCs w:val="20"/>
              </w:rPr>
              <w:t>Effective date</w:t>
            </w:r>
          </w:p>
        </w:tc>
        <w:tc>
          <w:tcPr>
            <w:tcW w:w="3287" w:type="dxa"/>
            <w:tcBorders>
              <w:top w:val="single" w:sz="8" w:space="0" w:color="auto"/>
              <w:left w:val="single" w:sz="8" w:space="0" w:color="auto"/>
              <w:bottom w:val="nil"/>
              <w:right w:val="nil"/>
            </w:tcBorders>
            <w:shd w:val="clear" w:color="auto" w:fill="D9D9D9"/>
          </w:tcPr>
          <w:p w14:paraId="14220BA9" w14:textId="27128750" w:rsidR="00AA17EC" w:rsidRPr="00845AD5" w:rsidRDefault="003E1CFD" w:rsidP="001D6E77">
            <w:pPr>
              <w:pStyle w:val="HeadingLv2"/>
            </w:pPr>
            <w:r w:rsidRPr="00845AD5">
              <w:rPr>
                <w:lang w:val="de-DE"/>
              </w:rPr>
              <w:t xml:space="preserve"> </w:t>
            </w:r>
            <w:r w:rsidR="009F179E">
              <w:rPr>
                <w:lang w:val="de-DE"/>
              </w:rPr>
              <w:t>01-Nov-</w:t>
            </w:r>
            <w:r w:rsidR="00200739">
              <w:rPr>
                <w:lang w:val="de-DE"/>
              </w:rPr>
              <w:t>202</w:t>
            </w:r>
            <w:r w:rsidR="006875C8">
              <w:rPr>
                <w:lang w:val="de-DE"/>
              </w:rPr>
              <w:t>2</w:t>
            </w:r>
          </w:p>
        </w:tc>
      </w:tr>
    </w:tbl>
    <w:p w14:paraId="450F12EA" w14:textId="77777777" w:rsidR="00AA17EC" w:rsidRPr="0064231A" w:rsidRDefault="00AA17EC" w:rsidP="00892FBC">
      <w:pPr>
        <w:rPr>
          <w:rFonts w:cs="Arial"/>
        </w:rPr>
      </w:pPr>
    </w:p>
    <w:p w14:paraId="6E556B67" w14:textId="77777777" w:rsidR="00AA17EC" w:rsidRPr="0064231A" w:rsidRDefault="00AA17EC" w:rsidP="00892FBC">
      <w:pPr>
        <w:rPr>
          <w:rFonts w:cs="Arial"/>
        </w:rPr>
      </w:pPr>
    </w:p>
    <w:p w14:paraId="5E064ACC" w14:textId="77777777" w:rsidR="00AA17EC" w:rsidRPr="0064231A" w:rsidRDefault="00AA17EC" w:rsidP="00892FBC">
      <w:pPr>
        <w:rPr>
          <w:rFonts w:cs="Arial"/>
        </w:rPr>
      </w:pPr>
    </w:p>
    <w:p w14:paraId="32706208" w14:textId="77777777" w:rsidR="002F03E4" w:rsidRPr="0064231A" w:rsidRDefault="002F03E4" w:rsidP="00200739">
      <w:pPr>
        <w:pStyle w:val="NormalH"/>
      </w:pPr>
      <w:r w:rsidRPr="0064231A">
        <w:lastRenderedPageBreak/>
        <w:t>Table of content</w:t>
      </w:r>
    </w:p>
    <w:p w14:paraId="504A676C" w14:textId="74516453" w:rsidR="007D20D5" w:rsidRDefault="00200739">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288304" w:history="1">
        <w:r w:rsidR="007D20D5" w:rsidRPr="002B33D0">
          <w:rPr>
            <w:rStyle w:val="Hyperlink"/>
            <w:rFonts w:cs="Arial"/>
            <w:noProof/>
          </w:rPr>
          <w:t>1</w:t>
        </w:r>
        <w:r w:rsidR="007D20D5">
          <w:rPr>
            <w:rFonts w:asciiTheme="minorHAnsi" w:eastAsiaTheme="minorEastAsia" w:hAnsiTheme="minorHAnsi" w:cstheme="minorBidi"/>
            <w:noProof/>
            <w:sz w:val="24"/>
            <w:szCs w:val="24"/>
          </w:rPr>
          <w:tab/>
        </w:r>
        <w:r w:rsidR="007D20D5" w:rsidRPr="002B33D0">
          <w:rPr>
            <w:rStyle w:val="Hyperlink"/>
            <w:rFonts w:cs="Arial"/>
            <w:noProof/>
          </w:rPr>
          <w:t>INTRODUCTION</w:t>
        </w:r>
        <w:r w:rsidR="007D20D5">
          <w:rPr>
            <w:noProof/>
            <w:webHidden/>
          </w:rPr>
          <w:tab/>
        </w:r>
        <w:r w:rsidR="007D20D5">
          <w:rPr>
            <w:noProof/>
            <w:webHidden/>
          </w:rPr>
          <w:fldChar w:fldCharType="begin"/>
        </w:r>
        <w:r w:rsidR="007D20D5">
          <w:rPr>
            <w:noProof/>
            <w:webHidden/>
          </w:rPr>
          <w:instrText xml:space="preserve"> PAGEREF _Toc118288304 \h </w:instrText>
        </w:r>
        <w:r w:rsidR="007D20D5">
          <w:rPr>
            <w:noProof/>
            <w:webHidden/>
          </w:rPr>
        </w:r>
        <w:r w:rsidR="007D20D5">
          <w:rPr>
            <w:noProof/>
            <w:webHidden/>
          </w:rPr>
          <w:fldChar w:fldCharType="separate"/>
        </w:r>
        <w:r w:rsidR="007D20D5">
          <w:rPr>
            <w:noProof/>
            <w:webHidden/>
          </w:rPr>
          <w:t>5</w:t>
        </w:r>
        <w:r w:rsidR="007D20D5">
          <w:rPr>
            <w:noProof/>
            <w:webHidden/>
          </w:rPr>
          <w:fldChar w:fldCharType="end"/>
        </w:r>
      </w:hyperlink>
    </w:p>
    <w:p w14:paraId="516E73FF" w14:textId="01B6595E" w:rsidR="007D20D5" w:rsidRDefault="00856905">
      <w:pPr>
        <w:pStyle w:val="TOC2"/>
        <w:tabs>
          <w:tab w:val="left" w:pos="720"/>
          <w:tab w:val="right" w:leader="dot" w:pos="9019"/>
        </w:tabs>
        <w:rPr>
          <w:rFonts w:asciiTheme="minorHAnsi" w:eastAsiaTheme="minorEastAsia" w:hAnsiTheme="minorHAnsi" w:cstheme="minorBidi"/>
          <w:noProof/>
          <w:sz w:val="24"/>
          <w:szCs w:val="24"/>
        </w:rPr>
      </w:pPr>
      <w:hyperlink w:anchor="_Toc118288305" w:history="1">
        <w:r w:rsidR="007D20D5" w:rsidRPr="002B33D0">
          <w:rPr>
            <w:rStyle w:val="Hyperlink"/>
            <w:rFonts w:cs="Arial"/>
            <w:noProof/>
          </w:rPr>
          <w:t>1.1</w:t>
        </w:r>
        <w:r w:rsidR="007D20D5">
          <w:rPr>
            <w:rFonts w:asciiTheme="minorHAnsi" w:eastAsiaTheme="minorEastAsia" w:hAnsiTheme="minorHAnsi" w:cstheme="minorBidi"/>
            <w:noProof/>
            <w:sz w:val="24"/>
            <w:szCs w:val="24"/>
          </w:rPr>
          <w:tab/>
        </w:r>
        <w:r w:rsidR="007D20D5" w:rsidRPr="002B33D0">
          <w:rPr>
            <w:rStyle w:val="Hyperlink"/>
            <w:rFonts w:cs="Arial"/>
            <w:noProof/>
          </w:rPr>
          <w:t>Purpose</w:t>
        </w:r>
        <w:r w:rsidR="007D20D5">
          <w:rPr>
            <w:noProof/>
            <w:webHidden/>
          </w:rPr>
          <w:tab/>
        </w:r>
        <w:r w:rsidR="007D20D5">
          <w:rPr>
            <w:noProof/>
            <w:webHidden/>
          </w:rPr>
          <w:fldChar w:fldCharType="begin"/>
        </w:r>
        <w:r w:rsidR="007D20D5">
          <w:rPr>
            <w:noProof/>
            <w:webHidden/>
          </w:rPr>
          <w:instrText xml:space="preserve"> PAGEREF _Toc118288305 \h </w:instrText>
        </w:r>
        <w:r w:rsidR="007D20D5">
          <w:rPr>
            <w:noProof/>
            <w:webHidden/>
          </w:rPr>
        </w:r>
        <w:r w:rsidR="007D20D5">
          <w:rPr>
            <w:noProof/>
            <w:webHidden/>
          </w:rPr>
          <w:fldChar w:fldCharType="separate"/>
        </w:r>
        <w:r w:rsidR="007D20D5">
          <w:rPr>
            <w:noProof/>
            <w:webHidden/>
          </w:rPr>
          <w:t>5</w:t>
        </w:r>
        <w:r w:rsidR="007D20D5">
          <w:rPr>
            <w:noProof/>
            <w:webHidden/>
          </w:rPr>
          <w:fldChar w:fldCharType="end"/>
        </w:r>
      </w:hyperlink>
    </w:p>
    <w:p w14:paraId="1564EEB5" w14:textId="15DA8B9A" w:rsidR="007D20D5" w:rsidRDefault="00856905">
      <w:pPr>
        <w:pStyle w:val="TOC2"/>
        <w:tabs>
          <w:tab w:val="left" w:pos="720"/>
          <w:tab w:val="right" w:leader="dot" w:pos="9019"/>
        </w:tabs>
        <w:rPr>
          <w:rFonts w:asciiTheme="minorHAnsi" w:eastAsiaTheme="minorEastAsia" w:hAnsiTheme="minorHAnsi" w:cstheme="minorBidi"/>
          <w:noProof/>
          <w:sz w:val="24"/>
          <w:szCs w:val="24"/>
        </w:rPr>
      </w:pPr>
      <w:hyperlink w:anchor="_Toc118288306" w:history="1">
        <w:r w:rsidR="007D20D5" w:rsidRPr="002B33D0">
          <w:rPr>
            <w:rStyle w:val="Hyperlink"/>
            <w:rFonts w:cs="Arial"/>
            <w:noProof/>
          </w:rPr>
          <w:t>1.2</w:t>
        </w:r>
        <w:r w:rsidR="007D20D5">
          <w:rPr>
            <w:rFonts w:asciiTheme="minorHAnsi" w:eastAsiaTheme="minorEastAsia" w:hAnsiTheme="minorHAnsi" w:cstheme="minorBidi"/>
            <w:noProof/>
            <w:sz w:val="24"/>
            <w:szCs w:val="24"/>
          </w:rPr>
          <w:tab/>
        </w:r>
        <w:r w:rsidR="007D20D5" w:rsidRPr="002B33D0">
          <w:rPr>
            <w:rStyle w:val="Hyperlink"/>
            <w:rFonts w:cs="Arial"/>
            <w:noProof/>
          </w:rPr>
          <w:t>Application Scope</w:t>
        </w:r>
        <w:r w:rsidR="007D20D5">
          <w:rPr>
            <w:noProof/>
            <w:webHidden/>
          </w:rPr>
          <w:tab/>
        </w:r>
        <w:r w:rsidR="007D20D5">
          <w:rPr>
            <w:noProof/>
            <w:webHidden/>
          </w:rPr>
          <w:fldChar w:fldCharType="begin"/>
        </w:r>
        <w:r w:rsidR="007D20D5">
          <w:rPr>
            <w:noProof/>
            <w:webHidden/>
          </w:rPr>
          <w:instrText xml:space="preserve"> PAGEREF _Toc118288306 \h </w:instrText>
        </w:r>
        <w:r w:rsidR="007D20D5">
          <w:rPr>
            <w:noProof/>
            <w:webHidden/>
          </w:rPr>
        </w:r>
        <w:r w:rsidR="007D20D5">
          <w:rPr>
            <w:noProof/>
            <w:webHidden/>
          </w:rPr>
          <w:fldChar w:fldCharType="separate"/>
        </w:r>
        <w:r w:rsidR="007D20D5">
          <w:rPr>
            <w:noProof/>
            <w:webHidden/>
          </w:rPr>
          <w:t>5</w:t>
        </w:r>
        <w:r w:rsidR="007D20D5">
          <w:rPr>
            <w:noProof/>
            <w:webHidden/>
          </w:rPr>
          <w:fldChar w:fldCharType="end"/>
        </w:r>
      </w:hyperlink>
    </w:p>
    <w:p w14:paraId="5C264CE6" w14:textId="5F8F0844" w:rsidR="007D20D5" w:rsidRDefault="00856905">
      <w:pPr>
        <w:pStyle w:val="TOC2"/>
        <w:tabs>
          <w:tab w:val="left" w:pos="720"/>
          <w:tab w:val="right" w:leader="dot" w:pos="9019"/>
        </w:tabs>
        <w:rPr>
          <w:rFonts w:asciiTheme="minorHAnsi" w:eastAsiaTheme="minorEastAsia" w:hAnsiTheme="minorHAnsi" w:cstheme="minorBidi"/>
          <w:noProof/>
          <w:sz w:val="24"/>
          <w:szCs w:val="24"/>
        </w:rPr>
      </w:pPr>
      <w:hyperlink w:anchor="_Toc118288307" w:history="1">
        <w:r w:rsidR="007D20D5" w:rsidRPr="002B33D0">
          <w:rPr>
            <w:rStyle w:val="Hyperlink"/>
            <w:noProof/>
          </w:rPr>
          <w:t>1.3</w:t>
        </w:r>
        <w:r w:rsidR="007D20D5">
          <w:rPr>
            <w:rFonts w:asciiTheme="minorHAnsi" w:eastAsiaTheme="minorEastAsia" w:hAnsiTheme="minorHAnsi" w:cstheme="minorBidi"/>
            <w:noProof/>
            <w:sz w:val="24"/>
            <w:szCs w:val="24"/>
          </w:rPr>
          <w:tab/>
        </w:r>
        <w:r w:rsidR="007D20D5" w:rsidRPr="002B33D0">
          <w:rPr>
            <w:rStyle w:val="Hyperlink"/>
            <w:noProof/>
          </w:rPr>
          <w:t>Application of national Laws</w:t>
        </w:r>
        <w:r w:rsidR="007D20D5">
          <w:rPr>
            <w:noProof/>
            <w:webHidden/>
          </w:rPr>
          <w:tab/>
        </w:r>
        <w:r w:rsidR="007D20D5">
          <w:rPr>
            <w:noProof/>
            <w:webHidden/>
          </w:rPr>
          <w:fldChar w:fldCharType="begin"/>
        </w:r>
        <w:r w:rsidR="007D20D5">
          <w:rPr>
            <w:noProof/>
            <w:webHidden/>
          </w:rPr>
          <w:instrText xml:space="preserve"> PAGEREF _Toc118288307 \h </w:instrText>
        </w:r>
        <w:r w:rsidR="007D20D5">
          <w:rPr>
            <w:noProof/>
            <w:webHidden/>
          </w:rPr>
        </w:r>
        <w:r w:rsidR="007D20D5">
          <w:rPr>
            <w:noProof/>
            <w:webHidden/>
          </w:rPr>
          <w:fldChar w:fldCharType="separate"/>
        </w:r>
        <w:r w:rsidR="007D20D5">
          <w:rPr>
            <w:noProof/>
            <w:webHidden/>
          </w:rPr>
          <w:t>6</w:t>
        </w:r>
        <w:r w:rsidR="007D20D5">
          <w:rPr>
            <w:noProof/>
            <w:webHidden/>
          </w:rPr>
          <w:fldChar w:fldCharType="end"/>
        </w:r>
      </w:hyperlink>
    </w:p>
    <w:p w14:paraId="446107C5" w14:textId="2A634006" w:rsidR="007D20D5" w:rsidRDefault="00856905">
      <w:pPr>
        <w:pStyle w:val="TOC2"/>
        <w:tabs>
          <w:tab w:val="left" w:pos="720"/>
          <w:tab w:val="right" w:leader="dot" w:pos="9019"/>
        </w:tabs>
        <w:rPr>
          <w:rFonts w:asciiTheme="minorHAnsi" w:eastAsiaTheme="minorEastAsia" w:hAnsiTheme="minorHAnsi" w:cstheme="minorBidi"/>
          <w:noProof/>
          <w:sz w:val="24"/>
          <w:szCs w:val="24"/>
        </w:rPr>
      </w:pPr>
      <w:hyperlink w:anchor="_Toc118288308" w:history="1">
        <w:r w:rsidR="007D20D5" w:rsidRPr="002B33D0">
          <w:rPr>
            <w:rStyle w:val="Hyperlink"/>
            <w:rFonts w:cs="Arial"/>
            <w:noProof/>
          </w:rPr>
          <w:t>1.4</w:t>
        </w:r>
        <w:r w:rsidR="007D20D5">
          <w:rPr>
            <w:rFonts w:asciiTheme="minorHAnsi" w:eastAsiaTheme="minorEastAsia" w:hAnsiTheme="minorHAnsi" w:cstheme="minorBidi"/>
            <w:noProof/>
            <w:sz w:val="24"/>
            <w:szCs w:val="24"/>
          </w:rPr>
          <w:tab/>
        </w:r>
        <w:r w:rsidR="007D20D5" w:rsidRPr="002B33D0">
          <w:rPr>
            <w:rStyle w:val="Hyperlink"/>
            <w:rFonts w:cs="Arial"/>
            <w:noProof/>
          </w:rPr>
          <w:t>Responsibilities/Governance</w:t>
        </w:r>
        <w:r w:rsidR="007D20D5">
          <w:rPr>
            <w:noProof/>
            <w:webHidden/>
          </w:rPr>
          <w:tab/>
        </w:r>
        <w:r w:rsidR="007D20D5">
          <w:rPr>
            <w:noProof/>
            <w:webHidden/>
          </w:rPr>
          <w:fldChar w:fldCharType="begin"/>
        </w:r>
        <w:r w:rsidR="007D20D5">
          <w:rPr>
            <w:noProof/>
            <w:webHidden/>
          </w:rPr>
          <w:instrText xml:space="preserve"> PAGEREF _Toc118288308 \h </w:instrText>
        </w:r>
        <w:r w:rsidR="007D20D5">
          <w:rPr>
            <w:noProof/>
            <w:webHidden/>
          </w:rPr>
        </w:r>
        <w:r w:rsidR="007D20D5">
          <w:rPr>
            <w:noProof/>
            <w:webHidden/>
          </w:rPr>
          <w:fldChar w:fldCharType="separate"/>
        </w:r>
        <w:r w:rsidR="007D20D5">
          <w:rPr>
            <w:noProof/>
            <w:webHidden/>
          </w:rPr>
          <w:t>7</w:t>
        </w:r>
        <w:r w:rsidR="007D20D5">
          <w:rPr>
            <w:noProof/>
            <w:webHidden/>
          </w:rPr>
          <w:fldChar w:fldCharType="end"/>
        </w:r>
      </w:hyperlink>
    </w:p>
    <w:p w14:paraId="5973DFD7" w14:textId="68140484" w:rsidR="007D20D5" w:rsidRDefault="00856905">
      <w:pPr>
        <w:pStyle w:val="TOC1"/>
        <w:rPr>
          <w:rFonts w:asciiTheme="minorHAnsi" w:eastAsiaTheme="minorEastAsia" w:hAnsiTheme="minorHAnsi" w:cstheme="minorBidi"/>
          <w:noProof/>
          <w:sz w:val="24"/>
          <w:szCs w:val="24"/>
        </w:rPr>
      </w:pPr>
      <w:hyperlink w:anchor="_Toc118288309" w:history="1">
        <w:r w:rsidR="007D20D5" w:rsidRPr="002B33D0">
          <w:rPr>
            <w:rStyle w:val="Hyperlink"/>
            <w:rFonts w:cs="Arial"/>
            <w:noProof/>
          </w:rPr>
          <w:t>2</w:t>
        </w:r>
        <w:r w:rsidR="007D20D5">
          <w:rPr>
            <w:rFonts w:asciiTheme="minorHAnsi" w:eastAsiaTheme="minorEastAsia" w:hAnsiTheme="minorHAnsi" w:cstheme="minorBidi"/>
            <w:noProof/>
            <w:sz w:val="24"/>
            <w:szCs w:val="24"/>
          </w:rPr>
          <w:tab/>
        </w:r>
        <w:r w:rsidR="007D20D5" w:rsidRPr="002B33D0">
          <w:rPr>
            <w:rStyle w:val="Hyperlink"/>
            <w:rFonts w:cs="Arial"/>
            <w:noProof/>
          </w:rPr>
          <w:t>GUIDELINE CONTENT</w:t>
        </w:r>
        <w:r w:rsidR="007D20D5">
          <w:rPr>
            <w:noProof/>
            <w:webHidden/>
          </w:rPr>
          <w:tab/>
        </w:r>
        <w:r w:rsidR="007D20D5">
          <w:rPr>
            <w:noProof/>
            <w:webHidden/>
          </w:rPr>
          <w:fldChar w:fldCharType="begin"/>
        </w:r>
        <w:r w:rsidR="007D20D5">
          <w:rPr>
            <w:noProof/>
            <w:webHidden/>
          </w:rPr>
          <w:instrText xml:space="preserve"> PAGEREF _Toc118288309 \h </w:instrText>
        </w:r>
        <w:r w:rsidR="007D20D5">
          <w:rPr>
            <w:noProof/>
            <w:webHidden/>
          </w:rPr>
        </w:r>
        <w:r w:rsidR="007D20D5">
          <w:rPr>
            <w:noProof/>
            <w:webHidden/>
          </w:rPr>
          <w:fldChar w:fldCharType="separate"/>
        </w:r>
        <w:r w:rsidR="007D20D5">
          <w:rPr>
            <w:noProof/>
            <w:webHidden/>
          </w:rPr>
          <w:t>9</w:t>
        </w:r>
        <w:r w:rsidR="007D20D5">
          <w:rPr>
            <w:noProof/>
            <w:webHidden/>
          </w:rPr>
          <w:fldChar w:fldCharType="end"/>
        </w:r>
      </w:hyperlink>
    </w:p>
    <w:p w14:paraId="4D5F1BB0" w14:textId="4EFBE811" w:rsidR="007D20D5" w:rsidRDefault="00856905">
      <w:pPr>
        <w:pStyle w:val="TOC2"/>
        <w:tabs>
          <w:tab w:val="left" w:pos="720"/>
          <w:tab w:val="right" w:leader="dot" w:pos="9019"/>
        </w:tabs>
        <w:rPr>
          <w:rFonts w:asciiTheme="minorHAnsi" w:eastAsiaTheme="minorEastAsia" w:hAnsiTheme="minorHAnsi" w:cstheme="minorBidi"/>
          <w:noProof/>
          <w:sz w:val="24"/>
          <w:szCs w:val="24"/>
        </w:rPr>
      </w:pPr>
      <w:hyperlink w:anchor="_Toc118288310" w:history="1">
        <w:r w:rsidR="007D20D5" w:rsidRPr="002B33D0">
          <w:rPr>
            <w:rStyle w:val="Hyperlink"/>
            <w:rFonts w:cs="Arial"/>
            <w:noProof/>
          </w:rPr>
          <w:t>2.1</w:t>
        </w:r>
        <w:r w:rsidR="007D20D5">
          <w:rPr>
            <w:rFonts w:asciiTheme="minorHAnsi" w:eastAsiaTheme="minorEastAsia" w:hAnsiTheme="minorHAnsi" w:cstheme="minorBidi"/>
            <w:noProof/>
            <w:sz w:val="24"/>
            <w:szCs w:val="24"/>
          </w:rPr>
          <w:tab/>
        </w:r>
        <w:r w:rsidR="007D20D5" w:rsidRPr="002B33D0">
          <w:rPr>
            <w:rStyle w:val="Hyperlink"/>
            <w:rFonts w:cs="Arial"/>
            <w:noProof/>
          </w:rPr>
          <w:t>Acceptance</w:t>
        </w:r>
        <w:r w:rsidR="007D20D5">
          <w:rPr>
            <w:noProof/>
            <w:webHidden/>
          </w:rPr>
          <w:tab/>
        </w:r>
        <w:r w:rsidR="007D20D5">
          <w:rPr>
            <w:noProof/>
            <w:webHidden/>
          </w:rPr>
          <w:fldChar w:fldCharType="begin"/>
        </w:r>
        <w:r w:rsidR="007D20D5">
          <w:rPr>
            <w:noProof/>
            <w:webHidden/>
          </w:rPr>
          <w:instrText xml:space="preserve"> PAGEREF _Toc118288310 \h </w:instrText>
        </w:r>
        <w:r w:rsidR="007D20D5">
          <w:rPr>
            <w:noProof/>
            <w:webHidden/>
          </w:rPr>
        </w:r>
        <w:r w:rsidR="007D20D5">
          <w:rPr>
            <w:noProof/>
            <w:webHidden/>
          </w:rPr>
          <w:fldChar w:fldCharType="separate"/>
        </w:r>
        <w:r w:rsidR="007D20D5">
          <w:rPr>
            <w:noProof/>
            <w:webHidden/>
          </w:rPr>
          <w:t>9</w:t>
        </w:r>
        <w:r w:rsidR="007D20D5">
          <w:rPr>
            <w:noProof/>
            <w:webHidden/>
          </w:rPr>
          <w:fldChar w:fldCharType="end"/>
        </w:r>
      </w:hyperlink>
    </w:p>
    <w:p w14:paraId="54B60DF2" w14:textId="573A5630" w:rsidR="007D20D5" w:rsidRDefault="00856905">
      <w:pPr>
        <w:pStyle w:val="TOC2"/>
        <w:tabs>
          <w:tab w:val="left" w:pos="720"/>
          <w:tab w:val="right" w:leader="dot" w:pos="9019"/>
        </w:tabs>
        <w:rPr>
          <w:rFonts w:asciiTheme="minorHAnsi" w:eastAsiaTheme="minorEastAsia" w:hAnsiTheme="minorHAnsi" w:cstheme="minorBidi"/>
          <w:noProof/>
          <w:sz w:val="24"/>
          <w:szCs w:val="24"/>
        </w:rPr>
      </w:pPr>
      <w:hyperlink w:anchor="_Toc118288311" w:history="1">
        <w:r w:rsidR="007D20D5" w:rsidRPr="002B33D0">
          <w:rPr>
            <w:rStyle w:val="Hyperlink"/>
            <w:rFonts w:cs="Arial"/>
            <w:noProof/>
          </w:rPr>
          <w:t>2.2</w:t>
        </w:r>
        <w:r w:rsidR="007D20D5">
          <w:rPr>
            <w:rFonts w:asciiTheme="minorHAnsi" w:eastAsiaTheme="minorEastAsia" w:hAnsiTheme="minorHAnsi" w:cstheme="minorBidi"/>
            <w:noProof/>
            <w:sz w:val="24"/>
            <w:szCs w:val="24"/>
          </w:rPr>
          <w:tab/>
        </w:r>
        <w:r w:rsidR="007D20D5" w:rsidRPr="002B33D0">
          <w:rPr>
            <w:rStyle w:val="Hyperlink"/>
            <w:rFonts w:cs="Arial"/>
            <w:noProof/>
          </w:rPr>
          <w:t>Verify and acceptance request</w:t>
        </w:r>
        <w:r w:rsidR="007D20D5">
          <w:rPr>
            <w:noProof/>
            <w:webHidden/>
          </w:rPr>
          <w:tab/>
        </w:r>
        <w:r w:rsidR="007D20D5">
          <w:rPr>
            <w:noProof/>
            <w:webHidden/>
          </w:rPr>
          <w:fldChar w:fldCharType="begin"/>
        </w:r>
        <w:r w:rsidR="007D20D5">
          <w:rPr>
            <w:noProof/>
            <w:webHidden/>
          </w:rPr>
          <w:instrText xml:space="preserve"> PAGEREF _Toc118288311 \h </w:instrText>
        </w:r>
        <w:r w:rsidR="007D20D5">
          <w:rPr>
            <w:noProof/>
            <w:webHidden/>
          </w:rPr>
        </w:r>
        <w:r w:rsidR="007D20D5">
          <w:rPr>
            <w:noProof/>
            <w:webHidden/>
          </w:rPr>
          <w:fldChar w:fldCharType="separate"/>
        </w:r>
        <w:r w:rsidR="007D20D5">
          <w:rPr>
            <w:noProof/>
            <w:webHidden/>
          </w:rPr>
          <w:t>9</w:t>
        </w:r>
        <w:r w:rsidR="007D20D5">
          <w:rPr>
            <w:noProof/>
            <w:webHidden/>
          </w:rPr>
          <w:fldChar w:fldCharType="end"/>
        </w:r>
      </w:hyperlink>
    </w:p>
    <w:p w14:paraId="6741E30A" w14:textId="35376B4F" w:rsidR="007D20D5" w:rsidRDefault="00856905">
      <w:pPr>
        <w:pStyle w:val="TOC2"/>
        <w:tabs>
          <w:tab w:val="left" w:pos="720"/>
          <w:tab w:val="right" w:leader="dot" w:pos="9019"/>
        </w:tabs>
        <w:rPr>
          <w:rFonts w:asciiTheme="minorHAnsi" w:eastAsiaTheme="minorEastAsia" w:hAnsiTheme="minorHAnsi" w:cstheme="minorBidi"/>
          <w:noProof/>
          <w:sz w:val="24"/>
          <w:szCs w:val="24"/>
        </w:rPr>
      </w:pPr>
      <w:hyperlink w:anchor="_Toc118288312" w:history="1">
        <w:r w:rsidR="007D20D5" w:rsidRPr="002B33D0">
          <w:rPr>
            <w:rStyle w:val="Hyperlink"/>
            <w:rFonts w:cs="Arial"/>
            <w:bCs/>
            <w:noProof/>
          </w:rPr>
          <w:t>2.3</w:t>
        </w:r>
        <w:r w:rsidR="007D20D5">
          <w:rPr>
            <w:rFonts w:asciiTheme="minorHAnsi" w:eastAsiaTheme="minorEastAsia" w:hAnsiTheme="minorHAnsi" w:cstheme="minorBidi"/>
            <w:noProof/>
            <w:sz w:val="24"/>
            <w:szCs w:val="24"/>
          </w:rPr>
          <w:tab/>
        </w:r>
        <w:r w:rsidR="007D20D5" w:rsidRPr="002B33D0">
          <w:rPr>
            <w:rStyle w:val="Hyperlink"/>
            <w:rFonts w:cs="Arial"/>
            <w:bCs/>
            <w:noProof/>
          </w:rPr>
          <w:t>Types of Complaints and Appeals</w:t>
        </w:r>
        <w:r w:rsidR="007D20D5">
          <w:rPr>
            <w:noProof/>
            <w:webHidden/>
          </w:rPr>
          <w:tab/>
        </w:r>
        <w:r w:rsidR="007D20D5">
          <w:rPr>
            <w:noProof/>
            <w:webHidden/>
          </w:rPr>
          <w:fldChar w:fldCharType="begin"/>
        </w:r>
        <w:r w:rsidR="007D20D5">
          <w:rPr>
            <w:noProof/>
            <w:webHidden/>
          </w:rPr>
          <w:instrText xml:space="preserve"> PAGEREF _Toc118288312 \h </w:instrText>
        </w:r>
        <w:r w:rsidR="007D20D5">
          <w:rPr>
            <w:noProof/>
            <w:webHidden/>
          </w:rPr>
        </w:r>
        <w:r w:rsidR="007D20D5">
          <w:rPr>
            <w:noProof/>
            <w:webHidden/>
          </w:rPr>
          <w:fldChar w:fldCharType="separate"/>
        </w:r>
        <w:r w:rsidR="007D20D5">
          <w:rPr>
            <w:noProof/>
            <w:webHidden/>
          </w:rPr>
          <w:t>10</w:t>
        </w:r>
        <w:r w:rsidR="007D20D5">
          <w:rPr>
            <w:noProof/>
            <w:webHidden/>
          </w:rPr>
          <w:fldChar w:fldCharType="end"/>
        </w:r>
      </w:hyperlink>
    </w:p>
    <w:p w14:paraId="65AFE693" w14:textId="568CB756" w:rsidR="007D20D5" w:rsidRDefault="00856905">
      <w:pPr>
        <w:pStyle w:val="TOC2"/>
        <w:tabs>
          <w:tab w:val="left" w:pos="720"/>
          <w:tab w:val="right" w:leader="dot" w:pos="9019"/>
        </w:tabs>
        <w:rPr>
          <w:rFonts w:asciiTheme="minorHAnsi" w:eastAsiaTheme="minorEastAsia" w:hAnsiTheme="minorHAnsi" w:cstheme="minorBidi"/>
          <w:noProof/>
          <w:sz w:val="24"/>
          <w:szCs w:val="24"/>
        </w:rPr>
      </w:pPr>
      <w:hyperlink w:anchor="_Toc118288313" w:history="1">
        <w:r w:rsidR="007D20D5" w:rsidRPr="002B33D0">
          <w:rPr>
            <w:rStyle w:val="Hyperlink"/>
            <w:rFonts w:eastAsia="Times New Roman" w:cs="Arial"/>
            <w:noProof/>
            <w:shd w:val="clear" w:color="auto" w:fill="FFFFFF"/>
          </w:rPr>
          <w:t>2.4</w:t>
        </w:r>
        <w:r w:rsidR="007D20D5">
          <w:rPr>
            <w:rFonts w:asciiTheme="minorHAnsi" w:eastAsiaTheme="minorEastAsia" w:hAnsiTheme="minorHAnsi" w:cstheme="minorBidi"/>
            <w:noProof/>
            <w:sz w:val="24"/>
            <w:szCs w:val="24"/>
          </w:rPr>
          <w:tab/>
        </w:r>
        <w:r w:rsidR="007D20D5" w:rsidRPr="002B33D0">
          <w:rPr>
            <w:rStyle w:val="Hyperlink"/>
            <w:rFonts w:eastAsia="Times New Roman" w:cs="Arial"/>
            <w:noProof/>
            <w:shd w:val="clear" w:color="auto" w:fill="FFFFFF"/>
          </w:rPr>
          <w:t>Complaints Procedure has four levels of handling and escalation</w:t>
        </w:r>
        <w:r w:rsidR="007D20D5">
          <w:rPr>
            <w:noProof/>
            <w:webHidden/>
          </w:rPr>
          <w:tab/>
        </w:r>
        <w:r w:rsidR="007D20D5">
          <w:rPr>
            <w:noProof/>
            <w:webHidden/>
          </w:rPr>
          <w:fldChar w:fldCharType="begin"/>
        </w:r>
        <w:r w:rsidR="007D20D5">
          <w:rPr>
            <w:noProof/>
            <w:webHidden/>
          </w:rPr>
          <w:instrText xml:space="preserve"> PAGEREF _Toc118288313 \h </w:instrText>
        </w:r>
        <w:r w:rsidR="007D20D5">
          <w:rPr>
            <w:noProof/>
            <w:webHidden/>
          </w:rPr>
        </w:r>
        <w:r w:rsidR="007D20D5">
          <w:rPr>
            <w:noProof/>
            <w:webHidden/>
          </w:rPr>
          <w:fldChar w:fldCharType="separate"/>
        </w:r>
        <w:r w:rsidR="007D20D5">
          <w:rPr>
            <w:noProof/>
            <w:webHidden/>
          </w:rPr>
          <w:t>11</w:t>
        </w:r>
        <w:r w:rsidR="007D20D5">
          <w:rPr>
            <w:noProof/>
            <w:webHidden/>
          </w:rPr>
          <w:fldChar w:fldCharType="end"/>
        </w:r>
      </w:hyperlink>
    </w:p>
    <w:p w14:paraId="282D7D7B" w14:textId="1F7D82F8" w:rsidR="007D20D5" w:rsidRDefault="00856905">
      <w:pPr>
        <w:pStyle w:val="TOC2"/>
        <w:tabs>
          <w:tab w:val="left" w:pos="720"/>
          <w:tab w:val="right" w:leader="dot" w:pos="9019"/>
        </w:tabs>
        <w:rPr>
          <w:rFonts w:asciiTheme="minorHAnsi" w:eastAsiaTheme="minorEastAsia" w:hAnsiTheme="minorHAnsi" w:cstheme="minorBidi"/>
          <w:noProof/>
          <w:sz w:val="24"/>
          <w:szCs w:val="24"/>
        </w:rPr>
      </w:pPr>
      <w:hyperlink w:anchor="_Toc118288314" w:history="1">
        <w:r w:rsidR="007D20D5" w:rsidRPr="002B33D0">
          <w:rPr>
            <w:rStyle w:val="Hyperlink"/>
            <w:rFonts w:cs="Arial"/>
            <w:bCs/>
            <w:noProof/>
          </w:rPr>
          <w:t>2.5</w:t>
        </w:r>
        <w:r w:rsidR="007D20D5">
          <w:rPr>
            <w:rFonts w:asciiTheme="minorHAnsi" w:eastAsiaTheme="minorEastAsia" w:hAnsiTheme="minorHAnsi" w:cstheme="minorBidi"/>
            <w:noProof/>
            <w:sz w:val="24"/>
            <w:szCs w:val="24"/>
          </w:rPr>
          <w:tab/>
        </w:r>
        <w:r w:rsidR="007D20D5" w:rsidRPr="002B33D0">
          <w:rPr>
            <w:rStyle w:val="Hyperlink"/>
            <w:rFonts w:cs="Arial"/>
            <w:bCs/>
            <w:noProof/>
          </w:rPr>
          <w:t>Data Protection Complaint Inventory</w:t>
        </w:r>
        <w:r w:rsidR="007D20D5">
          <w:rPr>
            <w:noProof/>
            <w:webHidden/>
          </w:rPr>
          <w:tab/>
        </w:r>
        <w:r w:rsidR="007D20D5">
          <w:rPr>
            <w:noProof/>
            <w:webHidden/>
          </w:rPr>
          <w:fldChar w:fldCharType="begin"/>
        </w:r>
        <w:r w:rsidR="007D20D5">
          <w:rPr>
            <w:noProof/>
            <w:webHidden/>
          </w:rPr>
          <w:instrText xml:space="preserve"> PAGEREF _Toc118288314 \h </w:instrText>
        </w:r>
        <w:r w:rsidR="007D20D5">
          <w:rPr>
            <w:noProof/>
            <w:webHidden/>
          </w:rPr>
        </w:r>
        <w:r w:rsidR="007D20D5">
          <w:rPr>
            <w:noProof/>
            <w:webHidden/>
          </w:rPr>
          <w:fldChar w:fldCharType="separate"/>
        </w:r>
        <w:r w:rsidR="007D20D5">
          <w:rPr>
            <w:noProof/>
            <w:webHidden/>
          </w:rPr>
          <w:t>12</w:t>
        </w:r>
        <w:r w:rsidR="007D20D5">
          <w:rPr>
            <w:noProof/>
            <w:webHidden/>
          </w:rPr>
          <w:fldChar w:fldCharType="end"/>
        </w:r>
      </w:hyperlink>
    </w:p>
    <w:p w14:paraId="7433969F" w14:textId="37171437" w:rsidR="007D20D5" w:rsidRDefault="00856905">
      <w:pPr>
        <w:pStyle w:val="TOC1"/>
        <w:rPr>
          <w:rFonts w:asciiTheme="minorHAnsi" w:eastAsiaTheme="minorEastAsia" w:hAnsiTheme="minorHAnsi" w:cstheme="minorBidi"/>
          <w:noProof/>
          <w:sz w:val="24"/>
          <w:szCs w:val="24"/>
        </w:rPr>
      </w:pPr>
      <w:hyperlink w:anchor="_Toc118288315" w:history="1">
        <w:r w:rsidR="007D20D5" w:rsidRPr="002B33D0">
          <w:rPr>
            <w:rStyle w:val="Hyperlink"/>
            <w:rFonts w:cs="Arial"/>
            <w:noProof/>
          </w:rPr>
          <w:t>3</w:t>
        </w:r>
        <w:r w:rsidR="007D20D5">
          <w:rPr>
            <w:rFonts w:asciiTheme="minorHAnsi" w:eastAsiaTheme="minorEastAsia" w:hAnsiTheme="minorHAnsi" w:cstheme="minorBidi"/>
            <w:noProof/>
            <w:sz w:val="24"/>
            <w:szCs w:val="24"/>
          </w:rPr>
          <w:tab/>
        </w:r>
        <w:r w:rsidR="007D20D5" w:rsidRPr="002B33D0">
          <w:rPr>
            <w:rStyle w:val="Hyperlink"/>
            <w:rFonts w:cs="Arial"/>
            <w:noProof/>
          </w:rPr>
          <w:t>APPENDIX</w:t>
        </w:r>
        <w:r w:rsidR="007D20D5">
          <w:rPr>
            <w:noProof/>
            <w:webHidden/>
          </w:rPr>
          <w:tab/>
        </w:r>
        <w:r w:rsidR="007D20D5">
          <w:rPr>
            <w:noProof/>
            <w:webHidden/>
          </w:rPr>
          <w:fldChar w:fldCharType="begin"/>
        </w:r>
        <w:r w:rsidR="007D20D5">
          <w:rPr>
            <w:noProof/>
            <w:webHidden/>
          </w:rPr>
          <w:instrText xml:space="preserve"> PAGEREF _Toc118288315 \h </w:instrText>
        </w:r>
        <w:r w:rsidR="007D20D5">
          <w:rPr>
            <w:noProof/>
            <w:webHidden/>
          </w:rPr>
        </w:r>
        <w:r w:rsidR="007D20D5">
          <w:rPr>
            <w:noProof/>
            <w:webHidden/>
          </w:rPr>
          <w:fldChar w:fldCharType="separate"/>
        </w:r>
        <w:r w:rsidR="007D20D5">
          <w:rPr>
            <w:noProof/>
            <w:webHidden/>
          </w:rPr>
          <w:t>13</w:t>
        </w:r>
        <w:r w:rsidR="007D20D5">
          <w:rPr>
            <w:noProof/>
            <w:webHidden/>
          </w:rPr>
          <w:fldChar w:fldCharType="end"/>
        </w:r>
      </w:hyperlink>
    </w:p>
    <w:p w14:paraId="7A2641C7" w14:textId="02266A28" w:rsidR="007D20D5" w:rsidRDefault="00856905">
      <w:pPr>
        <w:pStyle w:val="TOC2"/>
        <w:tabs>
          <w:tab w:val="left" w:pos="720"/>
          <w:tab w:val="right" w:leader="dot" w:pos="9019"/>
        </w:tabs>
        <w:rPr>
          <w:rFonts w:asciiTheme="minorHAnsi" w:eastAsiaTheme="minorEastAsia" w:hAnsiTheme="minorHAnsi" w:cstheme="minorBidi"/>
          <w:noProof/>
          <w:sz w:val="24"/>
          <w:szCs w:val="24"/>
        </w:rPr>
      </w:pPr>
      <w:hyperlink w:anchor="_Toc118288316" w:history="1">
        <w:r w:rsidR="007D20D5" w:rsidRPr="002B33D0">
          <w:rPr>
            <w:rStyle w:val="Hyperlink"/>
            <w:rFonts w:cs="Arial"/>
            <w:noProof/>
          </w:rPr>
          <w:t>3.1</w:t>
        </w:r>
        <w:r w:rsidR="007D20D5">
          <w:rPr>
            <w:rFonts w:asciiTheme="minorHAnsi" w:eastAsiaTheme="minorEastAsia" w:hAnsiTheme="minorHAnsi" w:cstheme="minorBidi"/>
            <w:noProof/>
            <w:sz w:val="24"/>
            <w:szCs w:val="24"/>
          </w:rPr>
          <w:tab/>
        </w:r>
        <w:r w:rsidR="007D20D5" w:rsidRPr="002B33D0">
          <w:rPr>
            <w:rStyle w:val="Hyperlink"/>
            <w:rFonts w:cs="Arial"/>
            <w:noProof/>
          </w:rPr>
          <w:t>Definition</w:t>
        </w:r>
        <w:r w:rsidR="007D20D5">
          <w:rPr>
            <w:noProof/>
            <w:webHidden/>
          </w:rPr>
          <w:tab/>
        </w:r>
        <w:r w:rsidR="007D20D5">
          <w:rPr>
            <w:noProof/>
            <w:webHidden/>
          </w:rPr>
          <w:fldChar w:fldCharType="begin"/>
        </w:r>
        <w:r w:rsidR="007D20D5">
          <w:rPr>
            <w:noProof/>
            <w:webHidden/>
          </w:rPr>
          <w:instrText xml:space="preserve"> PAGEREF _Toc118288316 \h </w:instrText>
        </w:r>
        <w:r w:rsidR="007D20D5">
          <w:rPr>
            <w:noProof/>
            <w:webHidden/>
          </w:rPr>
        </w:r>
        <w:r w:rsidR="007D20D5">
          <w:rPr>
            <w:noProof/>
            <w:webHidden/>
          </w:rPr>
          <w:fldChar w:fldCharType="separate"/>
        </w:r>
        <w:r w:rsidR="007D20D5">
          <w:rPr>
            <w:noProof/>
            <w:webHidden/>
          </w:rPr>
          <w:t>13</w:t>
        </w:r>
        <w:r w:rsidR="007D20D5">
          <w:rPr>
            <w:noProof/>
            <w:webHidden/>
          </w:rPr>
          <w:fldChar w:fldCharType="end"/>
        </w:r>
      </w:hyperlink>
    </w:p>
    <w:p w14:paraId="28B65E6A" w14:textId="1589D313" w:rsidR="007D20D5" w:rsidRDefault="00856905">
      <w:pPr>
        <w:pStyle w:val="TOC2"/>
        <w:tabs>
          <w:tab w:val="left" w:pos="720"/>
          <w:tab w:val="right" w:leader="dot" w:pos="9019"/>
        </w:tabs>
        <w:rPr>
          <w:rFonts w:asciiTheme="minorHAnsi" w:eastAsiaTheme="minorEastAsia" w:hAnsiTheme="minorHAnsi" w:cstheme="minorBidi"/>
          <w:noProof/>
          <w:sz w:val="24"/>
          <w:szCs w:val="24"/>
        </w:rPr>
      </w:pPr>
      <w:hyperlink w:anchor="_Toc118288317" w:history="1">
        <w:r w:rsidR="007D20D5" w:rsidRPr="002B33D0">
          <w:rPr>
            <w:rStyle w:val="Hyperlink"/>
            <w:rFonts w:cs="Arial"/>
            <w:noProof/>
          </w:rPr>
          <w:t>3.2</w:t>
        </w:r>
        <w:r w:rsidR="007D20D5">
          <w:rPr>
            <w:rFonts w:asciiTheme="minorHAnsi" w:eastAsiaTheme="minorEastAsia" w:hAnsiTheme="minorHAnsi" w:cstheme="minorBidi"/>
            <w:noProof/>
            <w:sz w:val="24"/>
            <w:szCs w:val="24"/>
          </w:rPr>
          <w:tab/>
        </w:r>
        <w:r w:rsidR="007D20D5" w:rsidRPr="002B33D0">
          <w:rPr>
            <w:rStyle w:val="Hyperlink"/>
            <w:rFonts w:cs="Arial"/>
            <w:noProof/>
          </w:rPr>
          <w:t>Related Documents</w:t>
        </w:r>
        <w:r w:rsidR="007D20D5">
          <w:rPr>
            <w:noProof/>
            <w:webHidden/>
          </w:rPr>
          <w:tab/>
        </w:r>
        <w:r w:rsidR="007D20D5">
          <w:rPr>
            <w:noProof/>
            <w:webHidden/>
          </w:rPr>
          <w:fldChar w:fldCharType="begin"/>
        </w:r>
        <w:r w:rsidR="007D20D5">
          <w:rPr>
            <w:noProof/>
            <w:webHidden/>
          </w:rPr>
          <w:instrText xml:space="preserve"> PAGEREF _Toc118288317 \h </w:instrText>
        </w:r>
        <w:r w:rsidR="007D20D5">
          <w:rPr>
            <w:noProof/>
            <w:webHidden/>
          </w:rPr>
        </w:r>
        <w:r w:rsidR="007D20D5">
          <w:rPr>
            <w:noProof/>
            <w:webHidden/>
          </w:rPr>
          <w:fldChar w:fldCharType="separate"/>
        </w:r>
        <w:r w:rsidR="007D20D5">
          <w:rPr>
            <w:noProof/>
            <w:webHidden/>
          </w:rPr>
          <w:t>14</w:t>
        </w:r>
        <w:r w:rsidR="007D20D5">
          <w:rPr>
            <w:noProof/>
            <w:webHidden/>
          </w:rPr>
          <w:fldChar w:fldCharType="end"/>
        </w:r>
      </w:hyperlink>
    </w:p>
    <w:p w14:paraId="7750CA5E" w14:textId="4D8DEF64" w:rsidR="007D20D5" w:rsidRDefault="00856905">
      <w:pPr>
        <w:pStyle w:val="TOC2"/>
        <w:tabs>
          <w:tab w:val="left" w:pos="720"/>
          <w:tab w:val="right" w:leader="dot" w:pos="9019"/>
        </w:tabs>
        <w:rPr>
          <w:rFonts w:asciiTheme="minorHAnsi" w:eastAsiaTheme="minorEastAsia" w:hAnsiTheme="minorHAnsi" w:cstheme="minorBidi"/>
          <w:noProof/>
          <w:sz w:val="24"/>
          <w:szCs w:val="24"/>
        </w:rPr>
      </w:pPr>
      <w:hyperlink w:anchor="_Toc118288318" w:history="1">
        <w:r w:rsidR="007D20D5" w:rsidRPr="002B33D0">
          <w:rPr>
            <w:rStyle w:val="Hyperlink"/>
            <w:noProof/>
          </w:rPr>
          <w:t>3.3</w:t>
        </w:r>
        <w:r w:rsidR="007D20D5">
          <w:rPr>
            <w:rFonts w:asciiTheme="minorHAnsi" w:eastAsiaTheme="minorEastAsia" w:hAnsiTheme="minorHAnsi" w:cstheme="minorBidi"/>
            <w:noProof/>
            <w:sz w:val="24"/>
            <w:szCs w:val="24"/>
          </w:rPr>
          <w:tab/>
        </w:r>
        <w:r w:rsidR="007D20D5" w:rsidRPr="002B33D0">
          <w:rPr>
            <w:rStyle w:val="Hyperlink"/>
            <w:noProof/>
          </w:rPr>
          <w:t>Data Protection Law, Vietnam, Overview</w:t>
        </w:r>
        <w:r w:rsidR="007D20D5">
          <w:rPr>
            <w:noProof/>
            <w:webHidden/>
          </w:rPr>
          <w:tab/>
        </w:r>
        <w:r w:rsidR="007D20D5">
          <w:rPr>
            <w:noProof/>
            <w:webHidden/>
          </w:rPr>
          <w:fldChar w:fldCharType="begin"/>
        </w:r>
        <w:r w:rsidR="007D20D5">
          <w:rPr>
            <w:noProof/>
            <w:webHidden/>
          </w:rPr>
          <w:instrText xml:space="preserve"> PAGEREF _Toc118288318 \h </w:instrText>
        </w:r>
        <w:r w:rsidR="007D20D5">
          <w:rPr>
            <w:noProof/>
            <w:webHidden/>
          </w:rPr>
        </w:r>
        <w:r w:rsidR="007D20D5">
          <w:rPr>
            <w:noProof/>
            <w:webHidden/>
          </w:rPr>
          <w:fldChar w:fldCharType="separate"/>
        </w:r>
        <w:r w:rsidR="007D20D5">
          <w:rPr>
            <w:noProof/>
            <w:webHidden/>
          </w:rPr>
          <w:t>16</w:t>
        </w:r>
        <w:r w:rsidR="007D20D5">
          <w:rPr>
            <w:noProof/>
            <w:webHidden/>
          </w:rPr>
          <w:fldChar w:fldCharType="end"/>
        </w:r>
      </w:hyperlink>
    </w:p>
    <w:p w14:paraId="54BAAD79" w14:textId="71706B63" w:rsidR="002F03E4" w:rsidRPr="0064231A" w:rsidRDefault="00200739" w:rsidP="0064231A">
      <w:pPr>
        <w:tabs>
          <w:tab w:val="right" w:leader="dot" w:pos="9000"/>
        </w:tabs>
        <w:rPr>
          <w:rFonts w:cs="Arial"/>
          <w:sz w:val="24"/>
        </w:rPr>
      </w:pPr>
      <w:r>
        <w:rPr>
          <w:rFonts w:cs="Arial"/>
        </w:rPr>
        <w:fldChar w:fldCharType="end"/>
      </w:r>
    </w:p>
    <w:p w14:paraId="189DD818" w14:textId="77777777" w:rsidR="008629FB" w:rsidRPr="0064231A" w:rsidRDefault="008629FB" w:rsidP="00200739">
      <w:pPr>
        <w:pStyle w:val="NormalH"/>
      </w:pPr>
      <w:r w:rsidRPr="0064231A">
        <w:lastRenderedPageBreak/>
        <w:t>RECORD OF CHANGE</w:t>
      </w:r>
    </w:p>
    <w:tbl>
      <w:tblPr>
        <w:tblW w:w="10302"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77"/>
        <w:gridCol w:w="1367"/>
        <w:gridCol w:w="850"/>
        <w:gridCol w:w="2575"/>
        <w:gridCol w:w="1701"/>
        <w:gridCol w:w="992"/>
        <w:gridCol w:w="1417"/>
        <w:gridCol w:w="923"/>
      </w:tblGrid>
      <w:tr w:rsidR="005D6DEC" w:rsidRPr="000F709B" w14:paraId="2A69E4A0" w14:textId="77777777" w:rsidTr="00B376D5">
        <w:trPr>
          <w:trHeight w:val="595"/>
          <w:tblHeader/>
        </w:trPr>
        <w:tc>
          <w:tcPr>
            <w:tcW w:w="477" w:type="dxa"/>
            <w:shd w:val="clear" w:color="auto" w:fill="D9D9D9"/>
            <w:vAlign w:val="center"/>
          </w:tcPr>
          <w:p w14:paraId="7A77E216" w14:textId="77777777" w:rsidR="00BB580A" w:rsidRPr="000F709B" w:rsidRDefault="00BB580A" w:rsidP="00B376D5">
            <w:pPr>
              <w:pStyle w:val="Bangheader"/>
            </w:pPr>
            <w:r w:rsidRPr="000F709B">
              <w:t>No</w:t>
            </w:r>
          </w:p>
        </w:tc>
        <w:tc>
          <w:tcPr>
            <w:tcW w:w="1367" w:type="dxa"/>
            <w:shd w:val="clear" w:color="auto" w:fill="D9D9D9"/>
            <w:vAlign w:val="center"/>
          </w:tcPr>
          <w:p w14:paraId="6429703C" w14:textId="77777777" w:rsidR="00BB580A" w:rsidRPr="000F709B" w:rsidRDefault="00BB580A" w:rsidP="00B376D5">
            <w:pPr>
              <w:pStyle w:val="Bangheader"/>
            </w:pPr>
            <w:r w:rsidRPr="000F709B">
              <w:t>Effective Date</w:t>
            </w:r>
          </w:p>
        </w:tc>
        <w:tc>
          <w:tcPr>
            <w:tcW w:w="850" w:type="dxa"/>
            <w:shd w:val="clear" w:color="auto" w:fill="D9D9D9"/>
            <w:vAlign w:val="center"/>
          </w:tcPr>
          <w:p w14:paraId="24C38C95" w14:textId="77777777" w:rsidR="00BB580A" w:rsidRPr="000F709B" w:rsidRDefault="00BB580A" w:rsidP="00B376D5">
            <w:pPr>
              <w:pStyle w:val="Bangheader"/>
            </w:pPr>
            <w:r w:rsidRPr="000F709B">
              <w:t>Version</w:t>
            </w:r>
          </w:p>
        </w:tc>
        <w:tc>
          <w:tcPr>
            <w:tcW w:w="2575" w:type="dxa"/>
            <w:shd w:val="clear" w:color="auto" w:fill="D9D9D9"/>
            <w:vAlign w:val="center"/>
          </w:tcPr>
          <w:p w14:paraId="7CF50159" w14:textId="77777777" w:rsidR="00BB580A" w:rsidRPr="000F709B" w:rsidRDefault="00BB580A" w:rsidP="00B376D5">
            <w:pPr>
              <w:pStyle w:val="Bangheader"/>
            </w:pPr>
            <w:r w:rsidRPr="000F709B">
              <w:t>Change Description</w:t>
            </w:r>
          </w:p>
        </w:tc>
        <w:tc>
          <w:tcPr>
            <w:tcW w:w="1701" w:type="dxa"/>
            <w:shd w:val="clear" w:color="auto" w:fill="D9D9D9"/>
            <w:vAlign w:val="center"/>
          </w:tcPr>
          <w:p w14:paraId="5E41AFA3" w14:textId="77777777" w:rsidR="00BB580A" w:rsidRPr="000F709B" w:rsidRDefault="00BB580A" w:rsidP="00B376D5">
            <w:pPr>
              <w:pStyle w:val="Bangheader"/>
            </w:pPr>
            <w:r w:rsidRPr="000F709B">
              <w:t>Reason</w:t>
            </w:r>
          </w:p>
        </w:tc>
        <w:tc>
          <w:tcPr>
            <w:tcW w:w="992" w:type="dxa"/>
            <w:shd w:val="clear" w:color="auto" w:fill="D9D9D9"/>
            <w:vAlign w:val="center"/>
          </w:tcPr>
          <w:p w14:paraId="18FBE73E" w14:textId="77777777" w:rsidR="00BB580A" w:rsidRPr="000F709B" w:rsidRDefault="00BB580A" w:rsidP="00B376D5">
            <w:pPr>
              <w:pStyle w:val="Bangheader"/>
            </w:pPr>
            <w:r w:rsidRPr="000F709B">
              <w:t>Reviewer</w:t>
            </w:r>
          </w:p>
        </w:tc>
        <w:tc>
          <w:tcPr>
            <w:tcW w:w="1417" w:type="dxa"/>
            <w:shd w:val="clear" w:color="auto" w:fill="D9D9D9"/>
            <w:vAlign w:val="center"/>
          </w:tcPr>
          <w:p w14:paraId="3AD53AEA" w14:textId="3F105AD7" w:rsidR="00BB580A" w:rsidRPr="000F709B" w:rsidRDefault="00BB580A" w:rsidP="00B376D5">
            <w:pPr>
              <w:pStyle w:val="Bangheader"/>
            </w:pPr>
            <w:r w:rsidRPr="000F709B">
              <w:t>Final Reviewer</w:t>
            </w:r>
          </w:p>
        </w:tc>
        <w:tc>
          <w:tcPr>
            <w:tcW w:w="923" w:type="dxa"/>
            <w:shd w:val="clear" w:color="auto" w:fill="D9D9D9"/>
            <w:vAlign w:val="center"/>
          </w:tcPr>
          <w:p w14:paraId="12E30600" w14:textId="34123DAF" w:rsidR="00BB580A" w:rsidRPr="000F709B" w:rsidRDefault="00BB580A" w:rsidP="00B376D5">
            <w:pPr>
              <w:pStyle w:val="Bangheader"/>
            </w:pPr>
            <w:r w:rsidRPr="000F709B">
              <w:t>Approver</w:t>
            </w:r>
          </w:p>
        </w:tc>
      </w:tr>
      <w:tr w:rsidR="005D6DEC" w:rsidRPr="000F709B" w14:paraId="0E1223A7" w14:textId="77777777" w:rsidTr="00AC64A4">
        <w:trPr>
          <w:trHeight w:val="710"/>
        </w:trPr>
        <w:tc>
          <w:tcPr>
            <w:tcW w:w="477" w:type="dxa"/>
          </w:tcPr>
          <w:p w14:paraId="3B749190" w14:textId="77777777" w:rsidR="00BB580A" w:rsidRPr="000F709B" w:rsidRDefault="00BB580A" w:rsidP="00892FBC">
            <w:pPr>
              <w:rPr>
                <w:rFonts w:cs="Arial"/>
                <w:sz w:val="18"/>
                <w:szCs w:val="18"/>
              </w:rPr>
            </w:pPr>
            <w:r w:rsidRPr="000F709B">
              <w:rPr>
                <w:rFonts w:cs="Arial"/>
                <w:sz w:val="18"/>
                <w:szCs w:val="18"/>
              </w:rPr>
              <w:t>1</w:t>
            </w:r>
          </w:p>
        </w:tc>
        <w:tc>
          <w:tcPr>
            <w:tcW w:w="1367" w:type="dxa"/>
          </w:tcPr>
          <w:p w14:paraId="02010713" w14:textId="24DF4BD0" w:rsidR="00BB580A" w:rsidRPr="000F709B" w:rsidRDefault="009F179E" w:rsidP="00892FBC">
            <w:pPr>
              <w:rPr>
                <w:rFonts w:cs="Arial"/>
                <w:sz w:val="18"/>
                <w:szCs w:val="18"/>
              </w:rPr>
            </w:pPr>
            <w:r>
              <w:rPr>
                <w:rFonts w:cs="Arial"/>
                <w:sz w:val="18"/>
                <w:szCs w:val="18"/>
              </w:rPr>
              <w:t>10-May-</w:t>
            </w:r>
            <w:r w:rsidR="00BB580A" w:rsidRPr="000F709B">
              <w:rPr>
                <w:rFonts w:cs="Arial"/>
                <w:sz w:val="18"/>
                <w:szCs w:val="18"/>
              </w:rPr>
              <w:t>2019</w:t>
            </w:r>
          </w:p>
        </w:tc>
        <w:tc>
          <w:tcPr>
            <w:tcW w:w="850" w:type="dxa"/>
          </w:tcPr>
          <w:p w14:paraId="7C791B7F" w14:textId="77777777" w:rsidR="00BB580A" w:rsidRPr="000F709B" w:rsidRDefault="00BB580A" w:rsidP="00892FBC">
            <w:pPr>
              <w:rPr>
                <w:rFonts w:cs="Arial"/>
                <w:sz w:val="18"/>
                <w:szCs w:val="18"/>
              </w:rPr>
            </w:pPr>
            <w:r w:rsidRPr="000F709B">
              <w:rPr>
                <w:rFonts w:cs="Arial"/>
                <w:sz w:val="18"/>
                <w:szCs w:val="18"/>
              </w:rPr>
              <w:t>1.0</w:t>
            </w:r>
          </w:p>
        </w:tc>
        <w:tc>
          <w:tcPr>
            <w:tcW w:w="2575" w:type="dxa"/>
          </w:tcPr>
          <w:p w14:paraId="4D20CECD" w14:textId="77777777" w:rsidR="00BB580A" w:rsidRPr="000F709B" w:rsidRDefault="00BB580A" w:rsidP="00892FBC">
            <w:pPr>
              <w:rPr>
                <w:rFonts w:cs="Arial"/>
                <w:sz w:val="18"/>
                <w:szCs w:val="18"/>
              </w:rPr>
            </w:pPr>
            <w:r w:rsidRPr="000F709B">
              <w:rPr>
                <w:rFonts w:cs="Arial"/>
                <w:sz w:val="18"/>
                <w:szCs w:val="18"/>
              </w:rPr>
              <w:t>Newly issued</w:t>
            </w:r>
          </w:p>
        </w:tc>
        <w:tc>
          <w:tcPr>
            <w:tcW w:w="1701" w:type="dxa"/>
          </w:tcPr>
          <w:p w14:paraId="7EAA5C05" w14:textId="77777777" w:rsidR="00BB580A" w:rsidRPr="000F709B" w:rsidRDefault="00BB580A" w:rsidP="00892FBC">
            <w:pPr>
              <w:rPr>
                <w:rFonts w:cs="Arial"/>
                <w:sz w:val="18"/>
                <w:szCs w:val="18"/>
              </w:rPr>
            </w:pPr>
            <w:r w:rsidRPr="000F709B">
              <w:rPr>
                <w:rFonts w:cs="Arial"/>
                <w:sz w:val="18"/>
                <w:szCs w:val="18"/>
              </w:rPr>
              <w:t>Business requirement</w:t>
            </w:r>
          </w:p>
        </w:tc>
        <w:tc>
          <w:tcPr>
            <w:tcW w:w="992" w:type="dxa"/>
          </w:tcPr>
          <w:p w14:paraId="68992BF1" w14:textId="169C82EA" w:rsidR="00BB580A" w:rsidRPr="000F709B" w:rsidRDefault="00A40155" w:rsidP="00892FBC">
            <w:pPr>
              <w:rPr>
                <w:rFonts w:cs="Arial"/>
                <w:sz w:val="18"/>
                <w:szCs w:val="18"/>
              </w:rPr>
            </w:pPr>
            <w:proofErr w:type="spellStart"/>
            <w:r w:rsidRPr="000F709B">
              <w:rPr>
                <w:rFonts w:cs="Arial"/>
                <w:sz w:val="18"/>
                <w:szCs w:val="18"/>
              </w:rPr>
              <w:t>MinhPT</w:t>
            </w:r>
            <w:proofErr w:type="spellEnd"/>
          </w:p>
        </w:tc>
        <w:tc>
          <w:tcPr>
            <w:tcW w:w="1417" w:type="dxa"/>
          </w:tcPr>
          <w:p w14:paraId="7C70F849" w14:textId="63499168" w:rsidR="00BB580A" w:rsidRPr="000F709B" w:rsidRDefault="00BB580A" w:rsidP="00892FBC">
            <w:pPr>
              <w:rPr>
                <w:rFonts w:cs="Arial"/>
                <w:sz w:val="18"/>
                <w:szCs w:val="18"/>
              </w:rPr>
            </w:pPr>
            <w:r w:rsidRPr="000F709B">
              <w:rPr>
                <w:rFonts w:cs="Arial"/>
                <w:sz w:val="18"/>
                <w:szCs w:val="18"/>
              </w:rPr>
              <w:t>Michael Hering</w:t>
            </w:r>
          </w:p>
        </w:tc>
        <w:tc>
          <w:tcPr>
            <w:tcW w:w="923" w:type="dxa"/>
          </w:tcPr>
          <w:p w14:paraId="5737ADC4" w14:textId="441BD8E8" w:rsidR="00BB580A" w:rsidRPr="000F709B" w:rsidRDefault="00A40155" w:rsidP="00FD3492">
            <w:pPr>
              <w:pStyle w:val="headingbang"/>
              <w:rPr>
                <w:rFonts w:ascii="Arial" w:hAnsi="Arial" w:cs="Arial"/>
                <w:b w:val="0"/>
                <w:color w:val="000000" w:themeColor="text1"/>
                <w:sz w:val="18"/>
                <w:szCs w:val="18"/>
              </w:rPr>
            </w:pPr>
            <w:r w:rsidRPr="000F709B">
              <w:rPr>
                <w:rFonts w:ascii="Arial" w:hAnsi="Arial" w:cs="Arial"/>
                <w:b w:val="0"/>
                <w:color w:val="000000" w:themeColor="text1"/>
                <w:sz w:val="18"/>
                <w:szCs w:val="18"/>
              </w:rPr>
              <w:t>HoanNK</w:t>
            </w:r>
          </w:p>
        </w:tc>
      </w:tr>
      <w:tr w:rsidR="005D6DEC" w:rsidRPr="000F709B" w14:paraId="2798B544" w14:textId="77777777" w:rsidTr="00AC64A4">
        <w:trPr>
          <w:trHeight w:val="710"/>
        </w:trPr>
        <w:tc>
          <w:tcPr>
            <w:tcW w:w="477" w:type="dxa"/>
          </w:tcPr>
          <w:p w14:paraId="7F2BABE2" w14:textId="71E0F61E" w:rsidR="00F67731" w:rsidRPr="000F709B" w:rsidRDefault="00F67731" w:rsidP="00892FBC">
            <w:pPr>
              <w:rPr>
                <w:rFonts w:cs="Arial"/>
                <w:sz w:val="18"/>
                <w:szCs w:val="18"/>
              </w:rPr>
            </w:pPr>
            <w:r w:rsidRPr="000F709B">
              <w:rPr>
                <w:rFonts w:cs="Arial"/>
                <w:sz w:val="18"/>
                <w:szCs w:val="18"/>
              </w:rPr>
              <w:t>2</w:t>
            </w:r>
          </w:p>
        </w:tc>
        <w:tc>
          <w:tcPr>
            <w:tcW w:w="1367" w:type="dxa"/>
          </w:tcPr>
          <w:p w14:paraId="496DF656" w14:textId="5EACEDA2" w:rsidR="00F67731" w:rsidRPr="000F709B" w:rsidRDefault="009F179E" w:rsidP="00892FBC">
            <w:pPr>
              <w:rPr>
                <w:rFonts w:cs="Arial"/>
                <w:sz w:val="18"/>
                <w:szCs w:val="18"/>
              </w:rPr>
            </w:pPr>
            <w:r>
              <w:rPr>
                <w:rFonts w:cs="Arial"/>
                <w:sz w:val="18"/>
                <w:szCs w:val="18"/>
              </w:rPr>
              <w:t>21-Oct-</w:t>
            </w:r>
            <w:r w:rsidR="00F67731" w:rsidRPr="000F709B">
              <w:rPr>
                <w:rFonts w:cs="Arial"/>
                <w:sz w:val="18"/>
                <w:szCs w:val="18"/>
              </w:rPr>
              <w:t>2019</w:t>
            </w:r>
          </w:p>
        </w:tc>
        <w:tc>
          <w:tcPr>
            <w:tcW w:w="850" w:type="dxa"/>
          </w:tcPr>
          <w:p w14:paraId="1A901730" w14:textId="6CB232AC" w:rsidR="00F67731" w:rsidRPr="000F709B" w:rsidRDefault="00A40155" w:rsidP="00892FBC">
            <w:pPr>
              <w:rPr>
                <w:rFonts w:cs="Arial"/>
                <w:sz w:val="18"/>
                <w:szCs w:val="18"/>
              </w:rPr>
            </w:pPr>
            <w:r w:rsidRPr="000F709B">
              <w:rPr>
                <w:rFonts w:cs="Arial"/>
                <w:sz w:val="18"/>
                <w:szCs w:val="18"/>
              </w:rPr>
              <w:t>1.1</w:t>
            </w:r>
          </w:p>
        </w:tc>
        <w:tc>
          <w:tcPr>
            <w:tcW w:w="2575" w:type="dxa"/>
          </w:tcPr>
          <w:p w14:paraId="24D64D07" w14:textId="2D2C219B" w:rsidR="00F67731" w:rsidRPr="000F709B" w:rsidRDefault="00F67731" w:rsidP="00892FBC">
            <w:pPr>
              <w:rPr>
                <w:rFonts w:cs="Arial"/>
                <w:sz w:val="18"/>
                <w:szCs w:val="18"/>
              </w:rPr>
            </w:pPr>
            <w:r w:rsidRPr="000F709B">
              <w:rPr>
                <w:rFonts w:cs="Arial"/>
                <w:sz w:val="18"/>
                <w:szCs w:val="18"/>
              </w:rPr>
              <w:t>Revision</w:t>
            </w:r>
          </w:p>
        </w:tc>
        <w:tc>
          <w:tcPr>
            <w:tcW w:w="1701" w:type="dxa"/>
          </w:tcPr>
          <w:p w14:paraId="4C55CF0C" w14:textId="18F28400" w:rsidR="00F67731" w:rsidRPr="000F709B" w:rsidRDefault="00F67731" w:rsidP="00892FBC">
            <w:pPr>
              <w:rPr>
                <w:rFonts w:cs="Arial"/>
                <w:sz w:val="18"/>
                <w:szCs w:val="18"/>
              </w:rPr>
            </w:pPr>
            <w:r w:rsidRPr="000F709B">
              <w:rPr>
                <w:rFonts w:cs="Arial"/>
                <w:sz w:val="18"/>
                <w:szCs w:val="18"/>
              </w:rPr>
              <w:t>Legal requirement</w:t>
            </w:r>
          </w:p>
        </w:tc>
        <w:tc>
          <w:tcPr>
            <w:tcW w:w="992" w:type="dxa"/>
          </w:tcPr>
          <w:p w14:paraId="12F4E078" w14:textId="61B32100" w:rsidR="00F67731" w:rsidRPr="000F709B" w:rsidRDefault="00A40155" w:rsidP="00892FBC">
            <w:pPr>
              <w:rPr>
                <w:rFonts w:cs="Arial"/>
                <w:sz w:val="18"/>
                <w:szCs w:val="18"/>
              </w:rPr>
            </w:pPr>
            <w:r w:rsidRPr="000F709B">
              <w:rPr>
                <w:rFonts w:cs="Arial"/>
                <w:sz w:val="18"/>
                <w:szCs w:val="18"/>
              </w:rPr>
              <w:t>TrangNN4</w:t>
            </w:r>
          </w:p>
        </w:tc>
        <w:tc>
          <w:tcPr>
            <w:tcW w:w="1417" w:type="dxa"/>
          </w:tcPr>
          <w:p w14:paraId="57541EA7" w14:textId="63B62098" w:rsidR="00F67731" w:rsidRPr="000F709B" w:rsidRDefault="00F67731" w:rsidP="00892FBC">
            <w:pPr>
              <w:rPr>
                <w:rFonts w:cs="Arial"/>
                <w:sz w:val="18"/>
                <w:szCs w:val="18"/>
              </w:rPr>
            </w:pPr>
            <w:r w:rsidRPr="000F709B">
              <w:rPr>
                <w:rFonts w:cs="Arial"/>
                <w:sz w:val="18"/>
                <w:szCs w:val="18"/>
              </w:rPr>
              <w:t>Michael Hering</w:t>
            </w:r>
          </w:p>
        </w:tc>
        <w:tc>
          <w:tcPr>
            <w:tcW w:w="923" w:type="dxa"/>
          </w:tcPr>
          <w:p w14:paraId="5128DC4F" w14:textId="05481053" w:rsidR="00F67731" w:rsidRPr="000F709B" w:rsidRDefault="00A40155" w:rsidP="00F67731">
            <w:pPr>
              <w:pStyle w:val="headingbang"/>
              <w:rPr>
                <w:rFonts w:ascii="Arial" w:hAnsi="Arial" w:cs="Arial"/>
                <w:b w:val="0"/>
                <w:color w:val="000000" w:themeColor="text1"/>
                <w:sz w:val="18"/>
                <w:szCs w:val="18"/>
              </w:rPr>
            </w:pPr>
            <w:r w:rsidRPr="000F709B">
              <w:rPr>
                <w:rFonts w:ascii="Arial" w:hAnsi="Arial" w:cs="Arial"/>
                <w:b w:val="0"/>
                <w:color w:val="000000" w:themeColor="text1"/>
                <w:sz w:val="18"/>
                <w:szCs w:val="18"/>
              </w:rPr>
              <w:t>HoanNK</w:t>
            </w:r>
          </w:p>
        </w:tc>
      </w:tr>
      <w:tr w:rsidR="005D6DEC" w:rsidRPr="000F709B" w14:paraId="499846CD" w14:textId="77777777" w:rsidTr="00AC64A4">
        <w:trPr>
          <w:trHeight w:val="3184"/>
        </w:trPr>
        <w:tc>
          <w:tcPr>
            <w:tcW w:w="477" w:type="dxa"/>
          </w:tcPr>
          <w:p w14:paraId="355E08B0" w14:textId="79F5B4ED" w:rsidR="00F67731" w:rsidRPr="000F709B" w:rsidRDefault="00F67731" w:rsidP="00892FBC">
            <w:pPr>
              <w:rPr>
                <w:rFonts w:cs="Arial"/>
                <w:sz w:val="18"/>
                <w:szCs w:val="18"/>
              </w:rPr>
            </w:pPr>
            <w:r w:rsidRPr="000F709B">
              <w:rPr>
                <w:rFonts w:cs="Arial"/>
                <w:sz w:val="18"/>
                <w:szCs w:val="18"/>
              </w:rPr>
              <w:t>3</w:t>
            </w:r>
          </w:p>
        </w:tc>
        <w:tc>
          <w:tcPr>
            <w:tcW w:w="1367" w:type="dxa"/>
          </w:tcPr>
          <w:p w14:paraId="73800D3E" w14:textId="2F9E8D15" w:rsidR="00F67731" w:rsidRPr="000F709B" w:rsidRDefault="009F179E" w:rsidP="00892FBC">
            <w:pPr>
              <w:rPr>
                <w:rFonts w:cs="Arial"/>
                <w:sz w:val="18"/>
                <w:szCs w:val="18"/>
              </w:rPr>
            </w:pPr>
            <w:r>
              <w:rPr>
                <w:rFonts w:cs="Arial"/>
                <w:sz w:val="18"/>
                <w:szCs w:val="18"/>
              </w:rPr>
              <w:t>11-May-</w:t>
            </w:r>
            <w:r w:rsidR="00F67731" w:rsidRPr="000F709B">
              <w:rPr>
                <w:rFonts w:cs="Arial"/>
                <w:sz w:val="18"/>
                <w:szCs w:val="18"/>
              </w:rPr>
              <w:t>2020</w:t>
            </w:r>
          </w:p>
        </w:tc>
        <w:tc>
          <w:tcPr>
            <w:tcW w:w="850" w:type="dxa"/>
          </w:tcPr>
          <w:p w14:paraId="12890467" w14:textId="18FAD44A" w:rsidR="00F67731" w:rsidRPr="000F709B" w:rsidRDefault="00F67731" w:rsidP="00892FBC">
            <w:pPr>
              <w:rPr>
                <w:rFonts w:cs="Arial"/>
                <w:sz w:val="18"/>
                <w:szCs w:val="18"/>
              </w:rPr>
            </w:pPr>
            <w:r w:rsidRPr="000F709B">
              <w:rPr>
                <w:rFonts w:cs="Arial"/>
                <w:sz w:val="18"/>
                <w:szCs w:val="18"/>
              </w:rPr>
              <w:t>2.1</w:t>
            </w:r>
          </w:p>
        </w:tc>
        <w:tc>
          <w:tcPr>
            <w:tcW w:w="2575" w:type="dxa"/>
          </w:tcPr>
          <w:p w14:paraId="67F99EAC" w14:textId="77777777" w:rsidR="000F709B" w:rsidRPr="000F709B" w:rsidRDefault="000F709B" w:rsidP="005D6DEC">
            <w:pPr>
              <w:spacing w:before="0" w:line="276" w:lineRule="auto"/>
              <w:rPr>
                <w:rFonts w:cs="Arial"/>
                <w:sz w:val="18"/>
                <w:szCs w:val="18"/>
                <w:shd w:val="clear" w:color="auto" w:fill="FFFFFF"/>
              </w:rPr>
            </w:pPr>
            <w:r w:rsidRPr="000F709B">
              <w:rPr>
                <w:rFonts w:cs="Arial"/>
                <w:sz w:val="18"/>
                <w:szCs w:val="18"/>
                <w:shd w:val="clear" w:color="auto" w:fill="FFFFFF"/>
              </w:rPr>
              <w:t>Add sub-section: Application of national Laws and Governance-Change title and content of following sections:</w:t>
            </w:r>
          </w:p>
          <w:p w14:paraId="36C58C0B" w14:textId="77777777" w:rsidR="005D6DEC" w:rsidRDefault="000F709B" w:rsidP="005D6DEC">
            <w:pPr>
              <w:spacing w:before="0" w:line="276" w:lineRule="auto"/>
              <w:rPr>
                <w:rFonts w:cs="Arial"/>
                <w:sz w:val="18"/>
                <w:szCs w:val="18"/>
                <w:shd w:val="clear" w:color="auto" w:fill="FFFFFF"/>
              </w:rPr>
            </w:pPr>
            <w:r w:rsidRPr="000F709B">
              <w:rPr>
                <w:rFonts w:cs="Arial"/>
                <w:sz w:val="18"/>
                <w:szCs w:val="18"/>
                <w:shd w:val="clear" w:color="auto" w:fill="FFFFFF"/>
              </w:rPr>
              <w:t>+ 2.3. Processing into Types of Complaints and Appeals</w:t>
            </w:r>
          </w:p>
          <w:p w14:paraId="3911E178" w14:textId="34DA5397" w:rsidR="005D6DEC" w:rsidRDefault="000F709B" w:rsidP="005D6DEC">
            <w:pPr>
              <w:spacing w:before="0" w:line="276" w:lineRule="auto"/>
              <w:rPr>
                <w:rFonts w:cs="Arial"/>
                <w:sz w:val="18"/>
                <w:szCs w:val="18"/>
                <w:shd w:val="clear" w:color="auto" w:fill="FFFFFF"/>
              </w:rPr>
            </w:pPr>
            <w:r w:rsidRPr="000F709B">
              <w:rPr>
                <w:rFonts w:cs="Arial"/>
                <w:sz w:val="18"/>
                <w:szCs w:val="18"/>
                <w:shd w:val="clear" w:color="auto" w:fill="FFFFFF"/>
              </w:rPr>
              <w:t>+ 2.4. Reply into Complaints Procedure has four levels of handling and escalation</w:t>
            </w:r>
          </w:p>
          <w:p w14:paraId="2D7AA714" w14:textId="551C4863" w:rsidR="00F67731" w:rsidRPr="000F709B" w:rsidRDefault="000F709B" w:rsidP="005D6DEC">
            <w:pPr>
              <w:spacing w:before="0" w:line="276" w:lineRule="auto"/>
              <w:rPr>
                <w:rFonts w:cs="Arial"/>
                <w:sz w:val="18"/>
                <w:szCs w:val="18"/>
              </w:rPr>
            </w:pPr>
            <w:r w:rsidRPr="000F709B">
              <w:rPr>
                <w:rFonts w:cs="Arial"/>
                <w:sz w:val="18"/>
                <w:szCs w:val="18"/>
                <w:shd w:val="clear" w:color="auto" w:fill="FFFFFF"/>
              </w:rPr>
              <w:t>+ 2.5. Record into Data Protection Complaint Inventory-Update Introduction and guideline content</w:t>
            </w:r>
            <w:r w:rsidR="005D6DEC">
              <w:rPr>
                <w:rFonts w:cs="Arial"/>
                <w:sz w:val="18"/>
                <w:szCs w:val="18"/>
                <w:shd w:val="clear" w:color="auto" w:fill="FFFFFF"/>
              </w:rPr>
              <w:t>.</w:t>
            </w:r>
          </w:p>
        </w:tc>
        <w:tc>
          <w:tcPr>
            <w:tcW w:w="1701" w:type="dxa"/>
          </w:tcPr>
          <w:p w14:paraId="556884EE" w14:textId="6BDBFDE3" w:rsidR="00F67731" w:rsidRPr="000F709B" w:rsidRDefault="000F709B" w:rsidP="005D6DEC">
            <w:pPr>
              <w:spacing w:line="276" w:lineRule="auto"/>
              <w:rPr>
                <w:rFonts w:cs="Arial"/>
                <w:sz w:val="18"/>
                <w:szCs w:val="18"/>
              </w:rPr>
            </w:pPr>
            <w:r w:rsidRPr="000F709B">
              <w:rPr>
                <w:rFonts w:cs="Arial"/>
                <w:sz w:val="18"/>
                <w:szCs w:val="18"/>
                <w:shd w:val="clear" w:color="auto" w:fill="FFFFFF"/>
              </w:rPr>
              <w:t>Update according to annually revision requirement</w:t>
            </w:r>
          </w:p>
        </w:tc>
        <w:tc>
          <w:tcPr>
            <w:tcW w:w="992" w:type="dxa"/>
          </w:tcPr>
          <w:p w14:paraId="25C0700F" w14:textId="5881D9E0" w:rsidR="00F67731" w:rsidRPr="000F709B" w:rsidRDefault="00A40155" w:rsidP="00892FBC">
            <w:pPr>
              <w:rPr>
                <w:rFonts w:cs="Arial"/>
                <w:sz w:val="18"/>
                <w:szCs w:val="18"/>
              </w:rPr>
            </w:pPr>
            <w:r w:rsidRPr="000F709B">
              <w:rPr>
                <w:rFonts w:cs="Arial"/>
                <w:sz w:val="18"/>
                <w:szCs w:val="18"/>
              </w:rPr>
              <w:t>TrangNN4</w:t>
            </w:r>
          </w:p>
        </w:tc>
        <w:tc>
          <w:tcPr>
            <w:tcW w:w="1417" w:type="dxa"/>
          </w:tcPr>
          <w:p w14:paraId="6297C1DE" w14:textId="5D0D466A" w:rsidR="00F67731" w:rsidRPr="000F709B" w:rsidRDefault="00F67731" w:rsidP="00892FBC">
            <w:pPr>
              <w:rPr>
                <w:rFonts w:cs="Arial"/>
                <w:sz w:val="18"/>
                <w:szCs w:val="18"/>
              </w:rPr>
            </w:pPr>
            <w:r w:rsidRPr="000F709B">
              <w:rPr>
                <w:rFonts w:cs="Arial"/>
                <w:sz w:val="18"/>
                <w:szCs w:val="18"/>
              </w:rPr>
              <w:t>Michael Hering</w:t>
            </w:r>
          </w:p>
        </w:tc>
        <w:tc>
          <w:tcPr>
            <w:tcW w:w="923" w:type="dxa"/>
          </w:tcPr>
          <w:p w14:paraId="72F55A5B" w14:textId="19ED4AD9" w:rsidR="00F67731" w:rsidRPr="000F709B" w:rsidRDefault="00A40155" w:rsidP="00F67731">
            <w:pPr>
              <w:pStyle w:val="headingbang"/>
              <w:rPr>
                <w:rFonts w:ascii="Arial" w:hAnsi="Arial" w:cs="Arial"/>
                <w:b w:val="0"/>
                <w:color w:val="000000" w:themeColor="text1"/>
                <w:sz w:val="18"/>
                <w:szCs w:val="18"/>
              </w:rPr>
            </w:pPr>
            <w:r w:rsidRPr="000F709B">
              <w:rPr>
                <w:rFonts w:ascii="Arial" w:hAnsi="Arial" w:cs="Arial"/>
                <w:b w:val="0"/>
                <w:color w:val="000000" w:themeColor="text1"/>
                <w:sz w:val="18"/>
                <w:szCs w:val="18"/>
              </w:rPr>
              <w:t>HoanNK</w:t>
            </w:r>
          </w:p>
        </w:tc>
      </w:tr>
      <w:tr w:rsidR="005D6DEC" w:rsidRPr="000F709B" w14:paraId="5A558861" w14:textId="77777777" w:rsidTr="00AC64A4">
        <w:trPr>
          <w:trHeight w:val="710"/>
        </w:trPr>
        <w:tc>
          <w:tcPr>
            <w:tcW w:w="477" w:type="dxa"/>
          </w:tcPr>
          <w:p w14:paraId="393B7458" w14:textId="1E5DDA4A" w:rsidR="000F3A9F" w:rsidRPr="000F709B" w:rsidRDefault="000F3A9F" w:rsidP="00892FBC">
            <w:pPr>
              <w:rPr>
                <w:rFonts w:cs="Arial"/>
                <w:sz w:val="18"/>
                <w:szCs w:val="18"/>
              </w:rPr>
            </w:pPr>
            <w:r w:rsidRPr="000F709B">
              <w:rPr>
                <w:rFonts w:cs="Arial"/>
                <w:sz w:val="18"/>
                <w:szCs w:val="18"/>
              </w:rPr>
              <w:t>4</w:t>
            </w:r>
          </w:p>
        </w:tc>
        <w:tc>
          <w:tcPr>
            <w:tcW w:w="1367" w:type="dxa"/>
          </w:tcPr>
          <w:p w14:paraId="38EB1D40" w14:textId="72BB6BD2" w:rsidR="000F3A9F" w:rsidRPr="000F709B" w:rsidRDefault="009F179E" w:rsidP="00892FBC">
            <w:pPr>
              <w:rPr>
                <w:rFonts w:cs="Arial"/>
                <w:sz w:val="18"/>
                <w:szCs w:val="18"/>
              </w:rPr>
            </w:pPr>
            <w:r>
              <w:rPr>
                <w:rFonts w:cs="Arial"/>
                <w:sz w:val="18"/>
                <w:szCs w:val="18"/>
              </w:rPr>
              <w:t>01-Jul-</w:t>
            </w:r>
            <w:r w:rsidR="000F3A9F" w:rsidRPr="000F709B">
              <w:rPr>
                <w:rFonts w:cs="Arial"/>
                <w:sz w:val="18"/>
                <w:szCs w:val="18"/>
              </w:rPr>
              <w:t>2020</w:t>
            </w:r>
          </w:p>
        </w:tc>
        <w:tc>
          <w:tcPr>
            <w:tcW w:w="850" w:type="dxa"/>
          </w:tcPr>
          <w:p w14:paraId="2ECDEC74" w14:textId="45623943" w:rsidR="000F3A9F" w:rsidRPr="000F709B" w:rsidRDefault="000F3A9F" w:rsidP="00892FBC">
            <w:pPr>
              <w:rPr>
                <w:rFonts w:cs="Arial"/>
                <w:sz w:val="18"/>
                <w:szCs w:val="18"/>
              </w:rPr>
            </w:pPr>
            <w:r w:rsidRPr="000F709B">
              <w:rPr>
                <w:rFonts w:cs="Arial"/>
                <w:sz w:val="18"/>
                <w:szCs w:val="18"/>
              </w:rPr>
              <w:t>2.</w:t>
            </w:r>
            <w:r w:rsidR="00573761" w:rsidRPr="000F709B">
              <w:rPr>
                <w:rFonts w:cs="Arial"/>
                <w:sz w:val="18"/>
                <w:szCs w:val="18"/>
              </w:rPr>
              <w:t>1.1</w:t>
            </w:r>
          </w:p>
        </w:tc>
        <w:tc>
          <w:tcPr>
            <w:tcW w:w="2575" w:type="dxa"/>
          </w:tcPr>
          <w:p w14:paraId="2CF4ED91" w14:textId="09DC79E8" w:rsidR="000F3A9F" w:rsidRPr="000F709B" w:rsidRDefault="000F3A9F" w:rsidP="00892FBC">
            <w:pPr>
              <w:rPr>
                <w:rFonts w:cs="Arial"/>
                <w:sz w:val="18"/>
                <w:szCs w:val="18"/>
              </w:rPr>
            </w:pPr>
            <w:r w:rsidRPr="000F709B">
              <w:rPr>
                <w:rFonts w:cs="Arial"/>
                <w:sz w:val="18"/>
                <w:szCs w:val="18"/>
              </w:rPr>
              <w:t>HITRUST</w:t>
            </w:r>
          </w:p>
        </w:tc>
        <w:tc>
          <w:tcPr>
            <w:tcW w:w="1701" w:type="dxa"/>
          </w:tcPr>
          <w:p w14:paraId="4B4A9BD5" w14:textId="28E587A8" w:rsidR="000F3A9F" w:rsidRPr="000F709B" w:rsidRDefault="000F3A9F" w:rsidP="00892FBC">
            <w:pPr>
              <w:rPr>
                <w:rFonts w:cs="Arial"/>
                <w:sz w:val="18"/>
                <w:szCs w:val="18"/>
              </w:rPr>
            </w:pPr>
            <w:r w:rsidRPr="000F709B">
              <w:rPr>
                <w:rFonts w:cs="Arial"/>
                <w:sz w:val="18"/>
                <w:szCs w:val="18"/>
              </w:rPr>
              <w:t>HITRUST requirement</w:t>
            </w:r>
          </w:p>
        </w:tc>
        <w:tc>
          <w:tcPr>
            <w:tcW w:w="992" w:type="dxa"/>
          </w:tcPr>
          <w:p w14:paraId="08491126" w14:textId="637A2F93" w:rsidR="000F3A9F" w:rsidRPr="000F709B" w:rsidRDefault="000F3A9F" w:rsidP="00892FBC">
            <w:pPr>
              <w:rPr>
                <w:rFonts w:cs="Arial"/>
                <w:sz w:val="18"/>
                <w:szCs w:val="18"/>
              </w:rPr>
            </w:pPr>
            <w:r w:rsidRPr="000F709B">
              <w:rPr>
                <w:rFonts w:cs="Arial"/>
                <w:sz w:val="18"/>
                <w:szCs w:val="18"/>
              </w:rPr>
              <w:t>TrangNN4</w:t>
            </w:r>
          </w:p>
        </w:tc>
        <w:tc>
          <w:tcPr>
            <w:tcW w:w="1417" w:type="dxa"/>
          </w:tcPr>
          <w:p w14:paraId="76239F51" w14:textId="620F1FA4" w:rsidR="000F3A9F" w:rsidRPr="000F709B" w:rsidRDefault="000F3A9F" w:rsidP="00892FBC">
            <w:pPr>
              <w:rPr>
                <w:rFonts w:cs="Arial"/>
                <w:sz w:val="18"/>
                <w:szCs w:val="18"/>
              </w:rPr>
            </w:pPr>
            <w:r w:rsidRPr="000F709B">
              <w:rPr>
                <w:rFonts w:cs="Arial"/>
                <w:sz w:val="18"/>
                <w:szCs w:val="18"/>
              </w:rPr>
              <w:t>Michael Hering</w:t>
            </w:r>
          </w:p>
        </w:tc>
        <w:tc>
          <w:tcPr>
            <w:tcW w:w="923" w:type="dxa"/>
          </w:tcPr>
          <w:p w14:paraId="4FA3CF53" w14:textId="5EFE8B3A" w:rsidR="000F3A9F" w:rsidRPr="000F709B" w:rsidRDefault="000F3A9F" w:rsidP="00F67731">
            <w:pPr>
              <w:pStyle w:val="headingbang"/>
              <w:rPr>
                <w:rFonts w:ascii="Arial" w:hAnsi="Arial" w:cs="Arial"/>
                <w:b w:val="0"/>
                <w:color w:val="000000" w:themeColor="text1"/>
                <w:sz w:val="18"/>
                <w:szCs w:val="18"/>
              </w:rPr>
            </w:pPr>
            <w:r w:rsidRPr="000F709B">
              <w:rPr>
                <w:rFonts w:ascii="Arial" w:hAnsi="Arial" w:cs="Arial"/>
                <w:b w:val="0"/>
                <w:color w:val="000000" w:themeColor="text1"/>
                <w:sz w:val="18"/>
                <w:szCs w:val="18"/>
              </w:rPr>
              <w:t>HoanNK</w:t>
            </w:r>
          </w:p>
        </w:tc>
      </w:tr>
      <w:tr w:rsidR="005D6DEC" w:rsidRPr="000F709B" w14:paraId="400992BB" w14:textId="77777777" w:rsidTr="00AC64A4">
        <w:trPr>
          <w:trHeight w:val="710"/>
        </w:trPr>
        <w:tc>
          <w:tcPr>
            <w:tcW w:w="477" w:type="dxa"/>
          </w:tcPr>
          <w:p w14:paraId="2E49A4C7" w14:textId="4A4EE461" w:rsidR="00E6550C" w:rsidRPr="000F709B" w:rsidRDefault="00E6550C" w:rsidP="00892FBC">
            <w:pPr>
              <w:rPr>
                <w:rFonts w:cs="Arial"/>
                <w:sz w:val="18"/>
                <w:szCs w:val="18"/>
              </w:rPr>
            </w:pPr>
            <w:r w:rsidRPr="000F709B">
              <w:rPr>
                <w:rFonts w:cs="Arial"/>
                <w:sz w:val="18"/>
                <w:szCs w:val="18"/>
              </w:rPr>
              <w:t>5</w:t>
            </w:r>
          </w:p>
        </w:tc>
        <w:tc>
          <w:tcPr>
            <w:tcW w:w="1367" w:type="dxa"/>
          </w:tcPr>
          <w:p w14:paraId="5A431F63" w14:textId="28A98493" w:rsidR="00E6550C" w:rsidRPr="000F709B" w:rsidRDefault="00AC085D" w:rsidP="00892FBC">
            <w:pPr>
              <w:rPr>
                <w:rFonts w:cs="Arial"/>
                <w:sz w:val="18"/>
                <w:szCs w:val="18"/>
              </w:rPr>
            </w:pPr>
            <w:r w:rsidRPr="000F709B">
              <w:rPr>
                <w:rFonts w:cs="Arial"/>
                <w:sz w:val="18"/>
                <w:szCs w:val="18"/>
              </w:rPr>
              <w:t>19</w:t>
            </w:r>
            <w:r w:rsidR="009F179E">
              <w:rPr>
                <w:rFonts w:cs="Arial"/>
                <w:sz w:val="18"/>
                <w:szCs w:val="18"/>
              </w:rPr>
              <w:t>-Oct-</w:t>
            </w:r>
            <w:r w:rsidR="00E6550C" w:rsidRPr="000F709B">
              <w:rPr>
                <w:rFonts w:cs="Arial"/>
                <w:sz w:val="18"/>
                <w:szCs w:val="18"/>
              </w:rPr>
              <w:t>2020</w:t>
            </w:r>
          </w:p>
        </w:tc>
        <w:tc>
          <w:tcPr>
            <w:tcW w:w="850" w:type="dxa"/>
          </w:tcPr>
          <w:p w14:paraId="5C18028A" w14:textId="19C298C9" w:rsidR="00E6550C" w:rsidRPr="000F709B" w:rsidRDefault="00573761" w:rsidP="00892FBC">
            <w:pPr>
              <w:rPr>
                <w:rFonts w:cs="Arial"/>
                <w:sz w:val="18"/>
                <w:szCs w:val="18"/>
              </w:rPr>
            </w:pPr>
            <w:r w:rsidRPr="000F709B">
              <w:rPr>
                <w:rFonts w:cs="Arial"/>
                <w:sz w:val="18"/>
                <w:szCs w:val="18"/>
              </w:rPr>
              <w:t>2.2</w:t>
            </w:r>
          </w:p>
        </w:tc>
        <w:tc>
          <w:tcPr>
            <w:tcW w:w="2575" w:type="dxa"/>
          </w:tcPr>
          <w:p w14:paraId="6CD0843C" w14:textId="77777777" w:rsidR="00845AD5" w:rsidRPr="00845AD5" w:rsidRDefault="00845AD5" w:rsidP="00DD2371">
            <w:pPr>
              <w:spacing w:before="0" w:line="276" w:lineRule="auto"/>
              <w:rPr>
                <w:rFonts w:cs="Arial"/>
                <w:sz w:val="18"/>
                <w:szCs w:val="18"/>
              </w:rPr>
            </w:pPr>
            <w:r w:rsidRPr="00845AD5">
              <w:rPr>
                <w:rFonts w:cs="Arial"/>
                <w:sz w:val="18"/>
                <w:szCs w:val="18"/>
              </w:rPr>
              <w:t>Update section: related document</w:t>
            </w:r>
          </w:p>
          <w:p w14:paraId="20263F5A" w14:textId="35FCE2C9" w:rsidR="00E6550C" w:rsidRPr="000F709B" w:rsidRDefault="00845AD5" w:rsidP="00DD2371">
            <w:pPr>
              <w:spacing w:before="0" w:line="276" w:lineRule="auto"/>
              <w:rPr>
                <w:rFonts w:cs="Arial"/>
                <w:sz w:val="18"/>
                <w:szCs w:val="18"/>
              </w:rPr>
            </w:pPr>
            <w:r>
              <w:rPr>
                <w:rFonts w:cs="Arial"/>
                <w:sz w:val="18"/>
                <w:szCs w:val="18"/>
              </w:rPr>
              <w:t>C</w:t>
            </w:r>
            <w:r w:rsidRPr="00845AD5">
              <w:rPr>
                <w:rFonts w:cs="Arial"/>
                <w:sz w:val="18"/>
                <w:szCs w:val="18"/>
              </w:rPr>
              <w:t xml:space="preserve">hange </w:t>
            </w:r>
            <w:r>
              <w:rPr>
                <w:rFonts w:cs="Arial"/>
                <w:sz w:val="18"/>
                <w:szCs w:val="18"/>
              </w:rPr>
              <w:t>“</w:t>
            </w:r>
            <w:r w:rsidRPr="00845AD5">
              <w:rPr>
                <w:rFonts w:cs="Arial"/>
                <w:sz w:val="18"/>
                <w:szCs w:val="18"/>
              </w:rPr>
              <w:t>Data Breach Contact List Q1_2020</w:t>
            </w:r>
            <w:r>
              <w:rPr>
                <w:rFonts w:cs="Arial"/>
                <w:sz w:val="18"/>
                <w:szCs w:val="18"/>
              </w:rPr>
              <w:t>”</w:t>
            </w:r>
            <w:r w:rsidRPr="00845AD5">
              <w:rPr>
                <w:rFonts w:cs="Arial"/>
                <w:sz w:val="18"/>
                <w:szCs w:val="18"/>
              </w:rPr>
              <w:t xml:space="preserve"> into </w:t>
            </w:r>
            <w:r w:rsidR="00DD2371">
              <w:rPr>
                <w:rFonts w:cs="Arial"/>
                <w:sz w:val="18"/>
                <w:szCs w:val="18"/>
              </w:rPr>
              <w:t>“</w:t>
            </w:r>
            <w:r w:rsidRPr="00845AD5">
              <w:rPr>
                <w:rFonts w:cs="Arial"/>
                <w:sz w:val="18"/>
                <w:szCs w:val="18"/>
              </w:rPr>
              <w:t>Data Breach Contact List Q4_2020</w:t>
            </w:r>
            <w:r w:rsidR="00DD2371">
              <w:rPr>
                <w:rFonts w:cs="Arial"/>
                <w:sz w:val="18"/>
                <w:szCs w:val="18"/>
              </w:rPr>
              <w:t>”</w:t>
            </w:r>
          </w:p>
        </w:tc>
        <w:tc>
          <w:tcPr>
            <w:tcW w:w="1701" w:type="dxa"/>
          </w:tcPr>
          <w:p w14:paraId="765923A7" w14:textId="6C6CC754" w:rsidR="00E6550C" w:rsidRPr="000F709B" w:rsidRDefault="00E6550C" w:rsidP="00892FBC">
            <w:pPr>
              <w:rPr>
                <w:rFonts w:cs="Arial"/>
                <w:sz w:val="18"/>
                <w:szCs w:val="18"/>
              </w:rPr>
            </w:pPr>
            <w:r w:rsidRPr="000F709B">
              <w:rPr>
                <w:rFonts w:cs="Arial"/>
                <w:sz w:val="18"/>
                <w:szCs w:val="18"/>
              </w:rPr>
              <w:t>Legal requirement</w:t>
            </w:r>
          </w:p>
        </w:tc>
        <w:tc>
          <w:tcPr>
            <w:tcW w:w="992" w:type="dxa"/>
          </w:tcPr>
          <w:p w14:paraId="54B9B434" w14:textId="0043FBF5" w:rsidR="00E6550C" w:rsidRPr="000F709B" w:rsidRDefault="00E6550C" w:rsidP="00892FBC">
            <w:pPr>
              <w:rPr>
                <w:rFonts w:cs="Arial"/>
                <w:sz w:val="18"/>
                <w:szCs w:val="18"/>
              </w:rPr>
            </w:pPr>
            <w:r w:rsidRPr="000F709B">
              <w:rPr>
                <w:rFonts w:cs="Arial"/>
                <w:sz w:val="18"/>
                <w:szCs w:val="18"/>
              </w:rPr>
              <w:t>TrangNN4</w:t>
            </w:r>
          </w:p>
        </w:tc>
        <w:tc>
          <w:tcPr>
            <w:tcW w:w="1417" w:type="dxa"/>
          </w:tcPr>
          <w:p w14:paraId="73431683" w14:textId="5D14DB8D" w:rsidR="00E6550C" w:rsidRPr="000F709B" w:rsidRDefault="00E6550C" w:rsidP="00892FBC">
            <w:pPr>
              <w:rPr>
                <w:rFonts w:cs="Arial"/>
                <w:sz w:val="18"/>
                <w:szCs w:val="18"/>
              </w:rPr>
            </w:pPr>
            <w:r w:rsidRPr="000F709B">
              <w:rPr>
                <w:rFonts w:cs="Arial"/>
                <w:sz w:val="18"/>
                <w:szCs w:val="18"/>
              </w:rPr>
              <w:t>Michael Hering</w:t>
            </w:r>
          </w:p>
        </w:tc>
        <w:tc>
          <w:tcPr>
            <w:tcW w:w="923" w:type="dxa"/>
          </w:tcPr>
          <w:p w14:paraId="6FC3A7CF" w14:textId="62690DE0" w:rsidR="00E6550C" w:rsidRPr="000F709B" w:rsidRDefault="00E6550C" w:rsidP="00F67731">
            <w:pPr>
              <w:pStyle w:val="headingbang"/>
              <w:rPr>
                <w:rFonts w:ascii="Arial" w:hAnsi="Arial" w:cs="Arial"/>
                <w:b w:val="0"/>
                <w:color w:val="000000" w:themeColor="text1"/>
                <w:sz w:val="18"/>
                <w:szCs w:val="18"/>
              </w:rPr>
            </w:pPr>
            <w:r w:rsidRPr="000F709B">
              <w:rPr>
                <w:rFonts w:ascii="Arial" w:hAnsi="Arial" w:cs="Arial"/>
                <w:b w:val="0"/>
                <w:color w:val="000000" w:themeColor="text1"/>
                <w:sz w:val="18"/>
                <w:szCs w:val="18"/>
              </w:rPr>
              <w:t>HoanNK</w:t>
            </w:r>
          </w:p>
        </w:tc>
      </w:tr>
      <w:tr w:rsidR="00AC64A4" w:rsidRPr="000F709B" w14:paraId="6B272190" w14:textId="77777777" w:rsidTr="00AC64A4">
        <w:trPr>
          <w:trHeight w:val="710"/>
        </w:trPr>
        <w:tc>
          <w:tcPr>
            <w:tcW w:w="477" w:type="dxa"/>
          </w:tcPr>
          <w:p w14:paraId="75E48A35" w14:textId="3C2DE443" w:rsidR="00AC64A4" w:rsidRPr="000F709B" w:rsidRDefault="00AC64A4" w:rsidP="00AC64A4">
            <w:pPr>
              <w:rPr>
                <w:rFonts w:cs="Arial"/>
                <w:sz w:val="18"/>
                <w:szCs w:val="18"/>
              </w:rPr>
            </w:pPr>
            <w:r>
              <w:rPr>
                <w:rFonts w:cs="Arial"/>
                <w:sz w:val="18"/>
                <w:szCs w:val="18"/>
              </w:rPr>
              <w:t>6</w:t>
            </w:r>
          </w:p>
        </w:tc>
        <w:tc>
          <w:tcPr>
            <w:tcW w:w="1367" w:type="dxa"/>
          </w:tcPr>
          <w:p w14:paraId="5B9713D4" w14:textId="0856283E" w:rsidR="00AC64A4" w:rsidRPr="000F709B" w:rsidRDefault="009F179E" w:rsidP="00AC64A4">
            <w:pPr>
              <w:rPr>
                <w:rFonts w:cs="Arial"/>
                <w:sz w:val="18"/>
                <w:szCs w:val="18"/>
              </w:rPr>
            </w:pPr>
            <w:r>
              <w:rPr>
                <w:rFonts w:cs="Arial"/>
                <w:sz w:val="18"/>
                <w:szCs w:val="18"/>
              </w:rPr>
              <w:t>01-May-</w:t>
            </w:r>
            <w:r w:rsidR="00AC64A4">
              <w:rPr>
                <w:rFonts w:cs="Arial"/>
                <w:sz w:val="18"/>
                <w:szCs w:val="18"/>
              </w:rPr>
              <w:t>2021</w:t>
            </w:r>
          </w:p>
        </w:tc>
        <w:tc>
          <w:tcPr>
            <w:tcW w:w="850" w:type="dxa"/>
          </w:tcPr>
          <w:p w14:paraId="4DE0A087" w14:textId="593F42D8" w:rsidR="00AC64A4" w:rsidRPr="000F709B" w:rsidRDefault="00AC64A4" w:rsidP="00AC64A4">
            <w:pPr>
              <w:rPr>
                <w:rFonts w:cs="Arial"/>
                <w:sz w:val="18"/>
                <w:szCs w:val="18"/>
              </w:rPr>
            </w:pPr>
            <w:r>
              <w:rPr>
                <w:rFonts w:cs="Arial"/>
                <w:sz w:val="18"/>
                <w:szCs w:val="18"/>
              </w:rPr>
              <w:t>3.0</w:t>
            </w:r>
          </w:p>
        </w:tc>
        <w:tc>
          <w:tcPr>
            <w:tcW w:w="2575" w:type="dxa"/>
          </w:tcPr>
          <w:p w14:paraId="59D6C0B8" w14:textId="418A3D17" w:rsidR="008C5E0F" w:rsidRDefault="008C5E0F" w:rsidP="008C5E0F">
            <w:pPr>
              <w:spacing w:before="0" w:line="240" w:lineRule="auto"/>
              <w:rPr>
                <w:rFonts w:cs="Arial"/>
                <w:sz w:val="18"/>
                <w:szCs w:val="18"/>
              </w:rPr>
            </w:pPr>
            <w:r>
              <w:rPr>
                <w:rFonts w:cs="Arial"/>
                <w:sz w:val="18"/>
                <w:szCs w:val="18"/>
              </w:rPr>
              <w:t xml:space="preserve">- </w:t>
            </w:r>
            <w:r w:rsidR="00AC64A4" w:rsidRPr="00AC64A4">
              <w:rPr>
                <w:rFonts w:cs="Arial"/>
                <w:sz w:val="18"/>
                <w:szCs w:val="18"/>
              </w:rPr>
              <w:t xml:space="preserve">Change the document structure, </w:t>
            </w:r>
          </w:p>
          <w:p w14:paraId="3D7B4631" w14:textId="428E8FEF" w:rsidR="00AC64A4" w:rsidRPr="00845AD5" w:rsidRDefault="008C5E0F" w:rsidP="008C5E0F">
            <w:pPr>
              <w:spacing w:before="0" w:line="240" w:lineRule="auto"/>
              <w:rPr>
                <w:rFonts w:cs="Arial"/>
                <w:sz w:val="18"/>
                <w:szCs w:val="18"/>
              </w:rPr>
            </w:pPr>
            <w:r>
              <w:rPr>
                <w:rFonts w:cs="Arial"/>
                <w:sz w:val="18"/>
                <w:szCs w:val="18"/>
              </w:rPr>
              <w:t>- U</w:t>
            </w:r>
            <w:r w:rsidR="00AC64A4" w:rsidRPr="00AC64A4">
              <w:rPr>
                <w:rFonts w:cs="Arial"/>
                <w:sz w:val="18"/>
                <w:szCs w:val="18"/>
              </w:rPr>
              <w:t>pdate more information for the Responsibilities/</w:t>
            </w:r>
            <w:r>
              <w:rPr>
                <w:rFonts w:cs="Arial"/>
                <w:sz w:val="18"/>
                <w:szCs w:val="18"/>
              </w:rPr>
              <w:t xml:space="preserve"> </w:t>
            </w:r>
            <w:r w:rsidR="00AC64A4" w:rsidRPr="00AC64A4">
              <w:rPr>
                <w:rFonts w:cs="Arial"/>
                <w:sz w:val="18"/>
                <w:szCs w:val="18"/>
              </w:rPr>
              <w:t>Governance</w:t>
            </w:r>
            <w:r>
              <w:rPr>
                <w:rFonts w:cs="Arial"/>
                <w:sz w:val="18"/>
                <w:szCs w:val="18"/>
              </w:rPr>
              <w:t xml:space="preserve"> section</w:t>
            </w:r>
            <w:r w:rsidR="00AC64A4">
              <w:rPr>
                <w:rFonts w:cs="Arial"/>
                <w:sz w:val="18"/>
                <w:szCs w:val="18"/>
              </w:rPr>
              <w:t>.</w:t>
            </w:r>
          </w:p>
        </w:tc>
        <w:tc>
          <w:tcPr>
            <w:tcW w:w="1701" w:type="dxa"/>
          </w:tcPr>
          <w:p w14:paraId="3D4095E6" w14:textId="7B25E5A4" w:rsidR="00AC64A4" w:rsidRPr="000F709B" w:rsidRDefault="00AC64A4" w:rsidP="00AC64A4">
            <w:pPr>
              <w:rPr>
                <w:rFonts w:cs="Arial"/>
                <w:sz w:val="18"/>
                <w:szCs w:val="18"/>
              </w:rPr>
            </w:pPr>
            <w:r w:rsidRPr="000F709B">
              <w:rPr>
                <w:rFonts w:cs="Arial"/>
                <w:sz w:val="18"/>
                <w:szCs w:val="18"/>
              </w:rPr>
              <w:t>Legal requirement</w:t>
            </w:r>
          </w:p>
        </w:tc>
        <w:tc>
          <w:tcPr>
            <w:tcW w:w="992" w:type="dxa"/>
          </w:tcPr>
          <w:p w14:paraId="71C3790F" w14:textId="77E7AC20" w:rsidR="00AC64A4" w:rsidRPr="000F709B" w:rsidRDefault="00AC64A4" w:rsidP="00AC64A4">
            <w:pPr>
              <w:rPr>
                <w:rFonts w:cs="Arial"/>
                <w:sz w:val="18"/>
                <w:szCs w:val="18"/>
              </w:rPr>
            </w:pPr>
            <w:r w:rsidRPr="000F709B">
              <w:rPr>
                <w:rFonts w:cs="Arial"/>
                <w:sz w:val="18"/>
                <w:szCs w:val="18"/>
              </w:rPr>
              <w:t>TrangNN4</w:t>
            </w:r>
          </w:p>
        </w:tc>
        <w:tc>
          <w:tcPr>
            <w:tcW w:w="1417" w:type="dxa"/>
          </w:tcPr>
          <w:p w14:paraId="730832DA" w14:textId="0DC34908" w:rsidR="00AC64A4" w:rsidRPr="000F709B" w:rsidRDefault="00AC64A4" w:rsidP="00AC64A4">
            <w:pPr>
              <w:rPr>
                <w:rFonts w:cs="Arial"/>
                <w:sz w:val="18"/>
                <w:szCs w:val="18"/>
              </w:rPr>
            </w:pPr>
            <w:r w:rsidRPr="000F709B">
              <w:rPr>
                <w:rFonts w:cs="Arial"/>
                <w:sz w:val="18"/>
                <w:szCs w:val="18"/>
              </w:rPr>
              <w:t>Michael Hering</w:t>
            </w:r>
          </w:p>
        </w:tc>
        <w:tc>
          <w:tcPr>
            <w:tcW w:w="923" w:type="dxa"/>
          </w:tcPr>
          <w:p w14:paraId="1C93BF85" w14:textId="17D55FB2" w:rsidR="00AC64A4" w:rsidRPr="000F709B" w:rsidRDefault="00AC64A4" w:rsidP="00AC64A4">
            <w:pPr>
              <w:pStyle w:val="headingbang"/>
              <w:rPr>
                <w:rFonts w:ascii="Arial" w:hAnsi="Arial" w:cs="Arial"/>
                <w:b w:val="0"/>
                <w:color w:val="000000" w:themeColor="text1"/>
                <w:sz w:val="18"/>
                <w:szCs w:val="18"/>
              </w:rPr>
            </w:pPr>
            <w:r w:rsidRPr="000F709B">
              <w:rPr>
                <w:rFonts w:ascii="Arial" w:hAnsi="Arial" w:cs="Arial"/>
                <w:b w:val="0"/>
                <w:color w:val="000000" w:themeColor="text1"/>
                <w:sz w:val="18"/>
                <w:szCs w:val="18"/>
              </w:rPr>
              <w:t>HoanNK</w:t>
            </w:r>
          </w:p>
        </w:tc>
      </w:tr>
      <w:tr w:rsidR="00E75677" w:rsidRPr="000F709B" w14:paraId="523EFF41" w14:textId="77777777" w:rsidTr="00BF1C35">
        <w:trPr>
          <w:trHeight w:val="710"/>
        </w:trPr>
        <w:tc>
          <w:tcPr>
            <w:tcW w:w="477" w:type="dxa"/>
          </w:tcPr>
          <w:p w14:paraId="3E49185E" w14:textId="23EF0062" w:rsidR="00E75677" w:rsidRPr="000F709B" w:rsidRDefault="00E75677" w:rsidP="00E75677">
            <w:pPr>
              <w:spacing w:before="0" w:line="240" w:lineRule="auto"/>
              <w:rPr>
                <w:rFonts w:cs="Arial"/>
                <w:sz w:val="18"/>
                <w:szCs w:val="18"/>
              </w:rPr>
            </w:pPr>
            <w:r>
              <w:rPr>
                <w:rFonts w:cs="Arial"/>
                <w:sz w:val="18"/>
                <w:szCs w:val="18"/>
              </w:rPr>
              <w:t>7</w:t>
            </w:r>
          </w:p>
        </w:tc>
        <w:tc>
          <w:tcPr>
            <w:tcW w:w="1367" w:type="dxa"/>
          </w:tcPr>
          <w:p w14:paraId="1538B45B" w14:textId="047FE93F" w:rsidR="00E75677" w:rsidRPr="000F709B" w:rsidRDefault="009F179E" w:rsidP="00E75677">
            <w:pPr>
              <w:spacing w:before="0" w:line="240" w:lineRule="auto"/>
              <w:rPr>
                <w:rFonts w:cs="Arial"/>
                <w:sz w:val="18"/>
                <w:szCs w:val="18"/>
              </w:rPr>
            </w:pPr>
            <w:r>
              <w:rPr>
                <w:rFonts w:cs="Arial"/>
                <w:sz w:val="18"/>
                <w:szCs w:val="18"/>
              </w:rPr>
              <w:t>01-Oct-</w:t>
            </w:r>
            <w:r w:rsidR="00E75677">
              <w:rPr>
                <w:rFonts w:cs="Arial"/>
                <w:sz w:val="18"/>
                <w:szCs w:val="18"/>
              </w:rPr>
              <w:t>2021</w:t>
            </w:r>
          </w:p>
        </w:tc>
        <w:tc>
          <w:tcPr>
            <w:tcW w:w="850" w:type="dxa"/>
          </w:tcPr>
          <w:p w14:paraId="3B6BB13E" w14:textId="31E023B2" w:rsidR="00E75677" w:rsidRPr="000F709B" w:rsidRDefault="00E75677" w:rsidP="00E75677">
            <w:pPr>
              <w:spacing w:before="0" w:line="240" w:lineRule="auto"/>
              <w:rPr>
                <w:rFonts w:cs="Arial"/>
                <w:sz w:val="18"/>
                <w:szCs w:val="18"/>
              </w:rPr>
            </w:pPr>
            <w:r>
              <w:rPr>
                <w:rFonts w:cs="Arial"/>
                <w:sz w:val="18"/>
                <w:szCs w:val="18"/>
              </w:rPr>
              <w:t>3.1</w:t>
            </w:r>
          </w:p>
        </w:tc>
        <w:tc>
          <w:tcPr>
            <w:tcW w:w="2575" w:type="dxa"/>
          </w:tcPr>
          <w:p w14:paraId="753CDCFF" w14:textId="2D5FC2F4" w:rsidR="00E75677" w:rsidRPr="00FB3FA2" w:rsidRDefault="00E75677" w:rsidP="00E75677">
            <w:pPr>
              <w:spacing w:before="0" w:line="240" w:lineRule="auto"/>
              <w:rPr>
                <w:rFonts w:cs="Arial"/>
                <w:sz w:val="18"/>
                <w:szCs w:val="18"/>
              </w:rPr>
            </w:pPr>
            <w:r w:rsidRPr="00FB3FA2">
              <w:rPr>
                <w:rFonts w:cs="Arial"/>
                <w:sz w:val="18"/>
                <w:szCs w:val="18"/>
              </w:rPr>
              <w:t xml:space="preserve">1.2 add: </w:t>
            </w:r>
            <w:proofErr w:type="spellStart"/>
            <w:r w:rsidRPr="00FB3FA2">
              <w:rPr>
                <w:rFonts w:cs="Arial"/>
                <w:sz w:val="18"/>
                <w:szCs w:val="18"/>
              </w:rPr>
              <w:t>statement_PIMS</w:t>
            </w:r>
            <w:proofErr w:type="spellEnd"/>
            <w:r w:rsidRPr="00FB3FA2">
              <w:rPr>
                <w:rFonts w:cs="Arial"/>
                <w:sz w:val="18"/>
                <w:szCs w:val="18"/>
              </w:rPr>
              <w:t xml:space="preserve"> scope_V1.0</w:t>
            </w:r>
            <w:r w:rsidR="00FB3FA2" w:rsidRPr="00FB3FA2">
              <w:rPr>
                <w:rFonts w:cs="Arial"/>
                <w:sz w:val="18"/>
                <w:szCs w:val="18"/>
              </w:rPr>
              <w:t xml:space="preserve">, 3.2 add: </w:t>
            </w:r>
            <w:proofErr w:type="spellStart"/>
            <w:r w:rsidR="00FB3FA2" w:rsidRPr="00FB3FA2">
              <w:rPr>
                <w:rFonts w:cs="Arial"/>
                <w:color w:val="000000"/>
                <w:sz w:val="18"/>
                <w:szCs w:val="18"/>
              </w:rPr>
              <w:t>Record_internal</w:t>
            </w:r>
            <w:proofErr w:type="spellEnd"/>
            <w:r w:rsidR="00FB3FA2" w:rsidRPr="00FB3FA2">
              <w:rPr>
                <w:rFonts w:cs="Arial"/>
                <w:color w:val="000000"/>
                <w:sz w:val="18"/>
                <w:szCs w:val="18"/>
              </w:rPr>
              <w:t xml:space="preserve"> contracts_V1.0</w:t>
            </w:r>
            <w:r w:rsidR="00FB3FA2" w:rsidRPr="00FB3FA2">
              <w:rPr>
                <w:rFonts w:cs="Arial"/>
                <w:color w:val="000000"/>
                <w:sz w:val="18"/>
                <w:szCs w:val="18"/>
              </w:rPr>
              <w:br/>
            </w:r>
            <w:proofErr w:type="spellStart"/>
            <w:r w:rsidR="00FB3FA2" w:rsidRPr="00FB3FA2">
              <w:rPr>
                <w:rFonts w:cs="Arial"/>
                <w:color w:val="000000"/>
                <w:sz w:val="18"/>
                <w:szCs w:val="18"/>
              </w:rPr>
              <w:t>Record_DP</w:t>
            </w:r>
            <w:proofErr w:type="spellEnd"/>
            <w:r w:rsidR="00FB3FA2" w:rsidRPr="00FB3FA2">
              <w:rPr>
                <w:rFonts w:cs="Arial"/>
                <w:color w:val="000000"/>
                <w:sz w:val="18"/>
                <w:szCs w:val="18"/>
              </w:rPr>
              <w:t xml:space="preserve"> contacts_V1.0</w:t>
            </w:r>
            <w:r w:rsidR="00FB3FA2" w:rsidRPr="00FB3FA2">
              <w:rPr>
                <w:rFonts w:cs="Arial"/>
                <w:color w:val="000000"/>
                <w:sz w:val="18"/>
                <w:szCs w:val="18"/>
              </w:rPr>
              <w:br/>
              <w:t>Record_authorities_Key-Supplier_V1.0</w:t>
            </w:r>
          </w:p>
        </w:tc>
        <w:tc>
          <w:tcPr>
            <w:tcW w:w="1701" w:type="dxa"/>
          </w:tcPr>
          <w:p w14:paraId="3AF70F22" w14:textId="77777777" w:rsidR="00E75677" w:rsidRPr="000F709B" w:rsidRDefault="00E75677" w:rsidP="00E75677">
            <w:pPr>
              <w:spacing w:before="0" w:line="240" w:lineRule="auto"/>
              <w:rPr>
                <w:rFonts w:cs="Arial"/>
                <w:sz w:val="18"/>
                <w:szCs w:val="18"/>
              </w:rPr>
            </w:pPr>
            <w:r w:rsidRPr="000F709B">
              <w:rPr>
                <w:rFonts w:cs="Arial"/>
                <w:sz w:val="18"/>
                <w:szCs w:val="18"/>
              </w:rPr>
              <w:t>Legal requirement</w:t>
            </w:r>
          </w:p>
        </w:tc>
        <w:tc>
          <w:tcPr>
            <w:tcW w:w="992" w:type="dxa"/>
          </w:tcPr>
          <w:p w14:paraId="330C65CB" w14:textId="77777777" w:rsidR="00E75677" w:rsidRPr="000F709B" w:rsidRDefault="00E75677" w:rsidP="00E75677">
            <w:pPr>
              <w:spacing w:before="0" w:line="240" w:lineRule="auto"/>
              <w:rPr>
                <w:rFonts w:cs="Arial"/>
                <w:sz w:val="18"/>
                <w:szCs w:val="18"/>
              </w:rPr>
            </w:pPr>
            <w:r w:rsidRPr="000F709B">
              <w:rPr>
                <w:rFonts w:cs="Arial"/>
                <w:sz w:val="18"/>
                <w:szCs w:val="18"/>
              </w:rPr>
              <w:t>TrangNN4</w:t>
            </w:r>
          </w:p>
        </w:tc>
        <w:tc>
          <w:tcPr>
            <w:tcW w:w="1417" w:type="dxa"/>
          </w:tcPr>
          <w:p w14:paraId="7DA9D96F" w14:textId="77777777" w:rsidR="00E75677" w:rsidRPr="000F709B" w:rsidRDefault="00E75677" w:rsidP="00E75677">
            <w:pPr>
              <w:spacing w:before="0" w:line="240" w:lineRule="auto"/>
              <w:rPr>
                <w:rFonts w:cs="Arial"/>
                <w:sz w:val="18"/>
                <w:szCs w:val="18"/>
              </w:rPr>
            </w:pPr>
            <w:r w:rsidRPr="000F709B">
              <w:rPr>
                <w:rFonts w:cs="Arial"/>
                <w:sz w:val="18"/>
                <w:szCs w:val="18"/>
              </w:rPr>
              <w:t>Michael Hering</w:t>
            </w:r>
          </w:p>
        </w:tc>
        <w:tc>
          <w:tcPr>
            <w:tcW w:w="923" w:type="dxa"/>
          </w:tcPr>
          <w:p w14:paraId="78077C78" w14:textId="77777777" w:rsidR="00E75677" w:rsidRPr="000F709B" w:rsidRDefault="00E75677" w:rsidP="00E75677">
            <w:pPr>
              <w:pStyle w:val="headingbang"/>
              <w:spacing w:before="0" w:after="0" w:line="240" w:lineRule="auto"/>
              <w:rPr>
                <w:rFonts w:ascii="Arial" w:hAnsi="Arial" w:cs="Arial"/>
                <w:b w:val="0"/>
                <w:color w:val="000000" w:themeColor="text1"/>
                <w:sz w:val="18"/>
                <w:szCs w:val="18"/>
              </w:rPr>
            </w:pPr>
            <w:r w:rsidRPr="000F709B">
              <w:rPr>
                <w:rFonts w:ascii="Arial" w:hAnsi="Arial" w:cs="Arial"/>
                <w:b w:val="0"/>
                <w:color w:val="000000" w:themeColor="text1"/>
                <w:sz w:val="18"/>
                <w:szCs w:val="18"/>
              </w:rPr>
              <w:t>HoanNK</w:t>
            </w:r>
          </w:p>
        </w:tc>
      </w:tr>
      <w:tr w:rsidR="00BF1B2F" w:rsidRPr="000F709B" w14:paraId="0E9BBF97" w14:textId="77777777" w:rsidTr="006A5D18">
        <w:trPr>
          <w:trHeight w:val="1097"/>
        </w:trPr>
        <w:tc>
          <w:tcPr>
            <w:tcW w:w="477" w:type="dxa"/>
          </w:tcPr>
          <w:p w14:paraId="09BF0A51" w14:textId="0811C738" w:rsidR="00BF1B2F" w:rsidRDefault="00BF1B2F" w:rsidP="00E75677">
            <w:pPr>
              <w:spacing w:before="0" w:line="240" w:lineRule="auto"/>
              <w:rPr>
                <w:rFonts w:cs="Arial"/>
                <w:sz w:val="18"/>
                <w:szCs w:val="18"/>
              </w:rPr>
            </w:pPr>
            <w:r>
              <w:rPr>
                <w:rFonts w:cs="Arial"/>
                <w:sz w:val="18"/>
                <w:szCs w:val="18"/>
              </w:rPr>
              <w:t>8</w:t>
            </w:r>
          </w:p>
        </w:tc>
        <w:tc>
          <w:tcPr>
            <w:tcW w:w="1367" w:type="dxa"/>
          </w:tcPr>
          <w:p w14:paraId="00FB8C9D" w14:textId="44E2B755" w:rsidR="00BF1B2F" w:rsidRDefault="009F179E" w:rsidP="00E75677">
            <w:pPr>
              <w:spacing w:before="0" w:line="240" w:lineRule="auto"/>
              <w:rPr>
                <w:rFonts w:cs="Arial"/>
                <w:sz w:val="18"/>
                <w:szCs w:val="18"/>
              </w:rPr>
            </w:pPr>
            <w:r>
              <w:rPr>
                <w:rFonts w:cs="Arial"/>
                <w:sz w:val="18"/>
                <w:szCs w:val="18"/>
              </w:rPr>
              <w:t>01-Apr-</w:t>
            </w:r>
            <w:r w:rsidR="00BF1B2F">
              <w:rPr>
                <w:rFonts w:cs="Arial"/>
                <w:sz w:val="18"/>
                <w:szCs w:val="18"/>
              </w:rPr>
              <w:t>2022</w:t>
            </w:r>
          </w:p>
        </w:tc>
        <w:tc>
          <w:tcPr>
            <w:tcW w:w="850" w:type="dxa"/>
          </w:tcPr>
          <w:p w14:paraId="4D4E0594" w14:textId="5CE5267C" w:rsidR="00BF1B2F" w:rsidRDefault="00BF1B2F" w:rsidP="00E75677">
            <w:pPr>
              <w:spacing w:before="0" w:line="240" w:lineRule="auto"/>
              <w:rPr>
                <w:rFonts w:cs="Arial"/>
                <w:sz w:val="18"/>
                <w:szCs w:val="18"/>
              </w:rPr>
            </w:pPr>
            <w:r>
              <w:rPr>
                <w:rFonts w:cs="Arial"/>
                <w:sz w:val="18"/>
                <w:szCs w:val="18"/>
              </w:rPr>
              <w:t>3.2</w:t>
            </w:r>
          </w:p>
        </w:tc>
        <w:tc>
          <w:tcPr>
            <w:tcW w:w="2575" w:type="dxa"/>
          </w:tcPr>
          <w:p w14:paraId="721F2801" w14:textId="026A884A" w:rsidR="00BF1B2F" w:rsidRDefault="00BF1B2F" w:rsidP="00BF1B2F">
            <w:pPr>
              <w:spacing w:before="0" w:line="276" w:lineRule="auto"/>
              <w:rPr>
                <w:rFonts w:cs="Arial"/>
                <w:sz w:val="18"/>
                <w:szCs w:val="18"/>
              </w:rPr>
            </w:pPr>
            <w:r w:rsidRPr="007516CD">
              <w:rPr>
                <w:rFonts w:cs="Arial"/>
                <w:iCs/>
                <w:sz w:val="18"/>
                <w:szCs w:val="18"/>
              </w:rPr>
              <w:t xml:space="preserve">1.2 added: </w:t>
            </w:r>
            <w:proofErr w:type="spellStart"/>
            <w:r w:rsidRPr="007516CD">
              <w:rPr>
                <w:rFonts w:cs="Arial"/>
                <w:sz w:val="18"/>
                <w:szCs w:val="18"/>
              </w:rPr>
              <w:t>Policy_PIMS</w:t>
            </w:r>
            <w:proofErr w:type="spellEnd"/>
            <w:r w:rsidRPr="007516CD">
              <w:rPr>
                <w:rFonts w:cs="Arial"/>
                <w:sz w:val="18"/>
                <w:szCs w:val="18"/>
              </w:rPr>
              <w:t xml:space="preserve"> scope_V1.1</w:t>
            </w:r>
          </w:p>
          <w:p w14:paraId="4BFB1FED" w14:textId="5C5FB1E1" w:rsidR="00EE42FF" w:rsidRDefault="00EE42FF" w:rsidP="00BF1B2F">
            <w:pPr>
              <w:spacing w:before="0" w:line="276" w:lineRule="auto"/>
              <w:rPr>
                <w:rFonts w:cs="Arial"/>
                <w:sz w:val="18"/>
                <w:szCs w:val="18"/>
              </w:rPr>
            </w:pPr>
            <w:r>
              <w:rPr>
                <w:rFonts w:cs="Arial"/>
                <w:sz w:val="18"/>
                <w:szCs w:val="18"/>
              </w:rPr>
              <w:t xml:space="preserve">2.2 added: </w:t>
            </w:r>
            <w:proofErr w:type="spellStart"/>
            <w:r w:rsidRPr="00EE42FF">
              <w:rPr>
                <w:rFonts w:cs="Arial"/>
                <w:bCs/>
                <w:sz w:val="18"/>
                <w:szCs w:val="18"/>
              </w:rPr>
              <w:t>Guideline_Data</w:t>
            </w:r>
            <w:proofErr w:type="spellEnd"/>
            <w:r w:rsidRPr="00EE42FF">
              <w:rPr>
                <w:rFonts w:cs="Arial"/>
                <w:bCs/>
                <w:sz w:val="18"/>
                <w:szCs w:val="18"/>
              </w:rPr>
              <w:t xml:space="preserve"> Breach Incident Response_v3.2, </w:t>
            </w:r>
            <w:proofErr w:type="spellStart"/>
            <w:r w:rsidRPr="00EE42FF">
              <w:rPr>
                <w:rFonts w:cs="Arial"/>
                <w:bCs/>
                <w:sz w:val="18"/>
                <w:szCs w:val="18"/>
              </w:rPr>
              <w:t>Procedure_Personal</w:t>
            </w:r>
            <w:proofErr w:type="spellEnd"/>
            <w:r w:rsidRPr="00EE42FF">
              <w:rPr>
                <w:rFonts w:cs="Arial"/>
                <w:bCs/>
                <w:sz w:val="18"/>
                <w:szCs w:val="18"/>
              </w:rPr>
              <w:t xml:space="preserve"> Data Breach Notification_V1.1)</w:t>
            </w:r>
          </w:p>
          <w:p w14:paraId="51F9AB8C" w14:textId="296D3912" w:rsidR="00BF1B2F" w:rsidRPr="001B2A0A" w:rsidRDefault="00BF1B2F" w:rsidP="00BF1B2F">
            <w:pPr>
              <w:spacing w:before="0" w:line="276" w:lineRule="auto"/>
              <w:rPr>
                <w:rFonts w:cs="Arial"/>
                <w:iCs/>
                <w:sz w:val="18"/>
                <w:szCs w:val="18"/>
              </w:rPr>
            </w:pPr>
            <w:r>
              <w:rPr>
                <w:rFonts w:cs="Arial"/>
                <w:iCs/>
                <w:sz w:val="18"/>
                <w:szCs w:val="18"/>
              </w:rPr>
              <w:t>3.2 1</w:t>
            </w:r>
            <w:r w:rsidR="00EE42FF">
              <w:rPr>
                <w:rFonts w:cs="Arial"/>
                <w:iCs/>
                <w:sz w:val="18"/>
                <w:szCs w:val="18"/>
              </w:rPr>
              <w:t>4</w:t>
            </w:r>
            <w:r>
              <w:rPr>
                <w:rFonts w:cs="Arial"/>
                <w:iCs/>
                <w:sz w:val="18"/>
                <w:szCs w:val="18"/>
              </w:rPr>
              <w:t xml:space="preserve"> added PIPL,</w:t>
            </w:r>
            <w:r>
              <w:rPr>
                <w:rFonts w:cs="Arial"/>
                <w:iCs/>
                <w:sz w:val="18"/>
                <w:szCs w:val="18"/>
              </w:rPr>
              <w:br/>
              <w:t>3</w:t>
            </w:r>
            <w:r w:rsidRPr="001B2A0A">
              <w:rPr>
                <w:rFonts w:cs="Arial"/>
                <w:iCs/>
                <w:sz w:val="18"/>
                <w:szCs w:val="18"/>
              </w:rPr>
              <w:t>.</w:t>
            </w:r>
            <w:r>
              <w:rPr>
                <w:rFonts w:cs="Arial"/>
                <w:iCs/>
                <w:sz w:val="18"/>
                <w:szCs w:val="18"/>
              </w:rPr>
              <w:t>2</w:t>
            </w:r>
            <w:r w:rsidRPr="001B2A0A">
              <w:rPr>
                <w:rFonts w:cs="Arial"/>
                <w:iCs/>
                <w:sz w:val="18"/>
                <w:szCs w:val="18"/>
              </w:rPr>
              <w:t xml:space="preserve"> 1</w:t>
            </w:r>
            <w:r w:rsidR="00EE42FF">
              <w:rPr>
                <w:rFonts w:cs="Arial"/>
                <w:iCs/>
                <w:sz w:val="18"/>
                <w:szCs w:val="18"/>
              </w:rPr>
              <w:t>5</w:t>
            </w:r>
            <w:r w:rsidRPr="001B2A0A">
              <w:rPr>
                <w:rFonts w:cs="Arial"/>
                <w:iCs/>
                <w:sz w:val="18"/>
                <w:szCs w:val="18"/>
              </w:rPr>
              <w:t xml:space="preserve"> added: </w:t>
            </w:r>
            <w:r w:rsidRPr="001B2A0A">
              <w:rPr>
                <w:rFonts w:cs="Arial"/>
                <w:sz w:val="18"/>
                <w:szCs w:val="18"/>
              </w:rPr>
              <w:t>PDPL, UAR, Decree-Law No. 45 of 2021</w:t>
            </w:r>
          </w:p>
          <w:p w14:paraId="7237005C" w14:textId="6F5FF7E8" w:rsidR="00BF1B2F" w:rsidRPr="001B2A0A" w:rsidRDefault="00BF1B2F" w:rsidP="00BF1B2F">
            <w:pPr>
              <w:spacing w:before="0" w:line="276" w:lineRule="auto"/>
              <w:rPr>
                <w:rFonts w:cs="Arial"/>
                <w:iCs/>
                <w:sz w:val="18"/>
                <w:szCs w:val="18"/>
              </w:rPr>
            </w:pPr>
            <w:r>
              <w:rPr>
                <w:rFonts w:cs="Arial"/>
                <w:iCs/>
                <w:sz w:val="18"/>
                <w:szCs w:val="18"/>
              </w:rPr>
              <w:t>3</w:t>
            </w:r>
            <w:r w:rsidRPr="001B2A0A">
              <w:rPr>
                <w:rFonts w:cs="Arial"/>
                <w:iCs/>
                <w:sz w:val="18"/>
                <w:szCs w:val="18"/>
              </w:rPr>
              <w:t>.</w:t>
            </w:r>
            <w:r>
              <w:rPr>
                <w:rFonts w:cs="Arial"/>
                <w:iCs/>
                <w:sz w:val="18"/>
                <w:szCs w:val="18"/>
              </w:rPr>
              <w:t>2</w:t>
            </w:r>
            <w:r w:rsidRPr="001B2A0A">
              <w:rPr>
                <w:rFonts w:cs="Arial"/>
                <w:iCs/>
                <w:sz w:val="18"/>
                <w:szCs w:val="18"/>
              </w:rPr>
              <w:t xml:space="preserve"> 1</w:t>
            </w:r>
            <w:r w:rsidR="00EE42FF">
              <w:rPr>
                <w:rFonts w:cs="Arial"/>
                <w:iCs/>
                <w:sz w:val="18"/>
                <w:szCs w:val="18"/>
              </w:rPr>
              <w:t>7</w:t>
            </w:r>
            <w:r w:rsidRPr="001B2A0A">
              <w:rPr>
                <w:rFonts w:cs="Arial"/>
                <w:iCs/>
                <w:sz w:val="18"/>
                <w:szCs w:val="18"/>
              </w:rPr>
              <w:t xml:space="preserve"> added: Decree of the Vietnamese Government: </w:t>
            </w:r>
            <w:r w:rsidRPr="001B2A0A">
              <w:rPr>
                <w:rFonts w:cs="Arial"/>
                <w:iCs/>
                <w:sz w:val="18"/>
                <w:szCs w:val="18"/>
              </w:rPr>
              <w:br/>
            </w:r>
            <w:proofErr w:type="spellStart"/>
            <w:r w:rsidRPr="001B2A0A">
              <w:rPr>
                <w:rFonts w:cs="Arial"/>
                <w:iCs/>
                <w:sz w:val="18"/>
                <w:szCs w:val="18"/>
              </w:rPr>
              <w:t>Nghị</w:t>
            </w:r>
            <w:proofErr w:type="spellEnd"/>
            <w:r w:rsidRPr="001B2A0A">
              <w:rPr>
                <w:rFonts w:cs="Arial"/>
                <w:iCs/>
                <w:sz w:val="18"/>
                <w:szCs w:val="18"/>
              </w:rPr>
              <w:t xml:space="preserve"> </w:t>
            </w:r>
            <w:proofErr w:type="spellStart"/>
            <w:r w:rsidRPr="001B2A0A">
              <w:rPr>
                <w:rFonts w:cs="Arial"/>
                <w:iCs/>
                <w:sz w:val="18"/>
                <w:szCs w:val="18"/>
              </w:rPr>
              <w:t>Định</w:t>
            </w:r>
            <w:proofErr w:type="spellEnd"/>
            <w:r w:rsidRPr="001B2A0A">
              <w:rPr>
                <w:rFonts w:cs="Arial"/>
                <w:iCs/>
                <w:sz w:val="18"/>
                <w:szCs w:val="18"/>
              </w:rPr>
              <w:t xml:space="preserve"> </w:t>
            </w:r>
            <w:proofErr w:type="spellStart"/>
            <w:r w:rsidRPr="001B2A0A">
              <w:rPr>
                <w:rFonts w:cs="Arial"/>
                <w:iCs/>
                <w:sz w:val="18"/>
                <w:szCs w:val="18"/>
              </w:rPr>
              <w:t>Quy</w:t>
            </w:r>
            <w:proofErr w:type="spellEnd"/>
            <w:r w:rsidRPr="001B2A0A">
              <w:rPr>
                <w:rFonts w:cs="Arial"/>
                <w:iCs/>
                <w:sz w:val="18"/>
                <w:szCs w:val="18"/>
              </w:rPr>
              <w:t xml:space="preserve"> </w:t>
            </w:r>
            <w:proofErr w:type="spellStart"/>
            <w:r w:rsidRPr="001B2A0A">
              <w:rPr>
                <w:rFonts w:cs="Arial"/>
                <w:iCs/>
                <w:sz w:val="18"/>
                <w:szCs w:val="18"/>
              </w:rPr>
              <w:t>Định</w:t>
            </w:r>
            <w:proofErr w:type="spellEnd"/>
            <w:r w:rsidRPr="001B2A0A">
              <w:rPr>
                <w:rFonts w:cs="Arial"/>
                <w:iCs/>
                <w:sz w:val="18"/>
                <w:szCs w:val="18"/>
              </w:rPr>
              <w:t xml:space="preserve"> </w:t>
            </w:r>
            <w:proofErr w:type="spellStart"/>
            <w:r w:rsidRPr="001B2A0A">
              <w:rPr>
                <w:rFonts w:cs="Arial"/>
                <w:iCs/>
                <w:sz w:val="18"/>
                <w:szCs w:val="18"/>
              </w:rPr>
              <w:t>Về</w:t>
            </w:r>
            <w:proofErr w:type="spellEnd"/>
            <w:r w:rsidRPr="001B2A0A">
              <w:rPr>
                <w:rFonts w:cs="Arial"/>
                <w:iCs/>
                <w:sz w:val="18"/>
                <w:szCs w:val="18"/>
              </w:rPr>
              <w:t xml:space="preserve"> </w:t>
            </w:r>
            <w:proofErr w:type="spellStart"/>
            <w:r w:rsidRPr="001B2A0A">
              <w:rPr>
                <w:rFonts w:cs="Arial"/>
                <w:iCs/>
                <w:sz w:val="18"/>
                <w:szCs w:val="18"/>
              </w:rPr>
              <w:t>Bảo</w:t>
            </w:r>
            <w:proofErr w:type="spellEnd"/>
            <w:r w:rsidRPr="001B2A0A">
              <w:rPr>
                <w:rFonts w:cs="Arial"/>
                <w:iCs/>
                <w:sz w:val="18"/>
                <w:szCs w:val="18"/>
              </w:rPr>
              <w:t xml:space="preserve"> </w:t>
            </w:r>
            <w:proofErr w:type="spellStart"/>
            <w:r w:rsidRPr="001B2A0A">
              <w:rPr>
                <w:rFonts w:cs="Arial"/>
                <w:iCs/>
                <w:sz w:val="18"/>
                <w:szCs w:val="18"/>
              </w:rPr>
              <w:t>Vệ</w:t>
            </w:r>
            <w:proofErr w:type="spellEnd"/>
            <w:r w:rsidRPr="001B2A0A">
              <w:rPr>
                <w:rFonts w:cs="Arial"/>
                <w:iCs/>
                <w:sz w:val="18"/>
                <w:szCs w:val="18"/>
              </w:rPr>
              <w:t xml:space="preserve"> </w:t>
            </w:r>
            <w:proofErr w:type="spellStart"/>
            <w:r w:rsidRPr="001B2A0A">
              <w:rPr>
                <w:rFonts w:cs="Arial"/>
                <w:iCs/>
                <w:sz w:val="18"/>
                <w:szCs w:val="18"/>
              </w:rPr>
              <w:t>Dữ</w:t>
            </w:r>
            <w:proofErr w:type="spellEnd"/>
            <w:r w:rsidRPr="001B2A0A">
              <w:rPr>
                <w:rFonts w:cs="Arial"/>
                <w:iCs/>
                <w:sz w:val="18"/>
                <w:szCs w:val="18"/>
              </w:rPr>
              <w:t xml:space="preserve"> </w:t>
            </w:r>
            <w:proofErr w:type="spellStart"/>
            <w:r w:rsidRPr="001B2A0A">
              <w:rPr>
                <w:rFonts w:cs="Arial"/>
                <w:iCs/>
                <w:sz w:val="18"/>
                <w:szCs w:val="18"/>
              </w:rPr>
              <w:t>Liệu</w:t>
            </w:r>
            <w:proofErr w:type="spellEnd"/>
            <w:r w:rsidRPr="001B2A0A">
              <w:rPr>
                <w:rFonts w:cs="Arial"/>
                <w:iCs/>
                <w:sz w:val="18"/>
                <w:szCs w:val="18"/>
              </w:rPr>
              <w:t xml:space="preserve"> </w:t>
            </w:r>
            <w:proofErr w:type="spellStart"/>
            <w:r w:rsidRPr="001B2A0A">
              <w:rPr>
                <w:rFonts w:cs="Arial"/>
                <w:iCs/>
                <w:sz w:val="18"/>
                <w:szCs w:val="18"/>
              </w:rPr>
              <w:t>Cá</w:t>
            </w:r>
            <w:proofErr w:type="spellEnd"/>
            <w:r w:rsidRPr="001B2A0A">
              <w:rPr>
                <w:rFonts w:cs="Arial"/>
                <w:iCs/>
                <w:sz w:val="18"/>
                <w:szCs w:val="18"/>
              </w:rPr>
              <w:t xml:space="preserve"> </w:t>
            </w:r>
            <w:proofErr w:type="spellStart"/>
            <w:r w:rsidRPr="001B2A0A">
              <w:rPr>
                <w:rFonts w:cs="Arial"/>
                <w:iCs/>
                <w:sz w:val="18"/>
                <w:szCs w:val="18"/>
              </w:rPr>
              <w:t>Nhân</w:t>
            </w:r>
            <w:proofErr w:type="spellEnd"/>
          </w:p>
          <w:p w14:paraId="4315B5D8" w14:textId="27344A92" w:rsidR="00BF1B2F" w:rsidRDefault="00BF1B2F" w:rsidP="00BF1B2F">
            <w:pPr>
              <w:spacing w:before="0" w:line="276" w:lineRule="auto"/>
              <w:rPr>
                <w:rFonts w:cs="Arial"/>
                <w:sz w:val="18"/>
                <w:szCs w:val="18"/>
              </w:rPr>
            </w:pPr>
            <w:r>
              <w:rPr>
                <w:rFonts w:cs="Arial"/>
                <w:sz w:val="18"/>
                <w:szCs w:val="18"/>
              </w:rPr>
              <w:lastRenderedPageBreak/>
              <w:t>3</w:t>
            </w:r>
            <w:r w:rsidRPr="001B2A0A">
              <w:rPr>
                <w:rFonts w:cs="Arial"/>
                <w:sz w:val="18"/>
                <w:szCs w:val="18"/>
              </w:rPr>
              <w:t>.</w:t>
            </w:r>
            <w:r>
              <w:rPr>
                <w:rFonts w:cs="Arial"/>
                <w:sz w:val="18"/>
                <w:szCs w:val="18"/>
              </w:rPr>
              <w:t>2</w:t>
            </w:r>
            <w:r w:rsidRPr="001B2A0A">
              <w:rPr>
                <w:rFonts w:cs="Arial"/>
                <w:sz w:val="18"/>
                <w:szCs w:val="18"/>
              </w:rPr>
              <w:t xml:space="preserve"> 1</w:t>
            </w:r>
            <w:r w:rsidR="00EE42FF">
              <w:rPr>
                <w:rFonts w:cs="Arial"/>
                <w:sz w:val="18"/>
                <w:szCs w:val="18"/>
              </w:rPr>
              <w:t>8</w:t>
            </w:r>
            <w:r w:rsidRPr="001B2A0A">
              <w:rPr>
                <w:rFonts w:cs="Arial"/>
                <w:sz w:val="18"/>
                <w:szCs w:val="18"/>
              </w:rPr>
              <w:t xml:space="preserve"> PDP_ Handbook_Version_V3.2</w:t>
            </w:r>
          </w:p>
          <w:p w14:paraId="4538CE7E" w14:textId="341E7AA6" w:rsidR="00BF1B2F" w:rsidRPr="00FB3FA2" w:rsidRDefault="00BF1B2F" w:rsidP="00BF1B2F">
            <w:pPr>
              <w:spacing w:before="0" w:line="240" w:lineRule="auto"/>
              <w:rPr>
                <w:rFonts w:cs="Arial"/>
                <w:sz w:val="18"/>
                <w:szCs w:val="18"/>
              </w:rPr>
            </w:pPr>
            <w:r>
              <w:rPr>
                <w:rFonts w:cs="Arial"/>
                <w:sz w:val="18"/>
                <w:szCs w:val="18"/>
              </w:rPr>
              <w:t>3.2 1</w:t>
            </w:r>
            <w:r w:rsidR="00EE42FF">
              <w:rPr>
                <w:rFonts w:cs="Arial"/>
                <w:sz w:val="18"/>
                <w:szCs w:val="18"/>
              </w:rPr>
              <w:t>9</w:t>
            </w:r>
            <w:r>
              <w:rPr>
                <w:rFonts w:cs="Arial"/>
                <w:sz w:val="18"/>
                <w:szCs w:val="18"/>
              </w:rPr>
              <w:t xml:space="preserve">: </w:t>
            </w:r>
            <w:r w:rsidR="00EE42FF" w:rsidRPr="00EE42FF">
              <w:rPr>
                <w:rFonts w:cs="Arial"/>
                <w:sz w:val="18"/>
                <w:szCs w:val="18"/>
              </w:rPr>
              <w:t>01e-DM/SG/HDCV/FSOFT</w:t>
            </w:r>
          </w:p>
        </w:tc>
        <w:tc>
          <w:tcPr>
            <w:tcW w:w="1701" w:type="dxa"/>
          </w:tcPr>
          <w:p w14:paraId="2F5680E8" w14:textId="3405FE72" w:rsidR="00BF1B2F" w:rsidRPr="000F709B" w:rsidRDefault="00BF1B2F" w:rsidP="00E75677">
            <w:pPr>
              <w:spacing w:before="0" w:line="240" w:lineRule="auto"/>
              <w:rPr>
                <w:rFonts w:cs="Arial"/>
                <w:sz w:val="18"/>
                <w:szCs w:val="18"/>
              </w:rPr>
            </w:pPr>
            <w:r>
              <w:rPr>
                <w:rFonts w:cs="Arial"/>
                <w:sz w:val="18"/>
                <w:szCs w:val="18"/>
              </w:rPr>
              <w:lastRenderedPageBreak/>
              <w:t>Biannually revision</w:t>
            </w:r>
          </w:p>
        </w:tc>
        <w:tc>
          <w:tcPr>
            <w:tcW w:w="992" w:type="dxa"/>
          </w:tcPr>
          <w:p w14:paraId="249C028C" w14:textId="69416464" w:rsidR="00BF1B2F" w:rsidRPr="000F709B" w:rsidRDefault="00BF1B2F" w:rsidP="00E75677">
            <w:pPr>
              <w:spacing w:before="0" w:line="240" w:lineRule="auto"/>
              <w:rPr>
                <w:rFonts w:cs="Arial"/>
                <w:sz w:val="18"/>
                <w:szCs w:val="18"/>
              </w:rPr>
            </w:pPr>
            <w:r>
              <w:rPr>
                <w:rFonts w:cs="Arial"/>
                <w:sz w:val="18"/>
                <w:szCs w:val="18"/>
              </w:rPr>
              <w:t>LinhDTD1</w:t>
            </w:r>
          </w:p>
        </w:tc>
        <w:tc>
          <w:tcPr>
            <w:tcW w:w="1417" w:type="dxa"/>
          </w:tcPr>
          <w:p w14:paraId="101A8C87" w14:textId="1A28DC42" w:rsidR="00BF1B2F" w:rsidRPr="000F709B" w:rsidRDefault="00BF1B2F" w:rsidP="00E75677">
            <w:pPr>
              <w:spacing w:before="0" w:line="240" w:lineRule="auto"/>
              <w:rPr>
                <w:rFonts w:cs="Arial"/>
                <w:sz w:val="18"/>
                <w:szCs w:val="18"/>
              </w:rPr>
            </w:pPr>
            <w:r>
              <w:rPr>
                <w:rFonts w:cs="Arial"/>
                <w:sz w:val="18"/>
                <w:szCs w:val="18"/>
              </w:rPr>
              <w:t>Michael Hering</w:t>
            </w:r>
          </w:p>
        </w:tc>
        <w:tc>
          <w:tcPr>
            <w:tcW w:w="923" w:type="dxa"/>
          </w:tcPr>
          <w:p w14:paraId="658DDE73" w14:textId="467F431C" w:rsidR="00BF1B2F" w:rsidRPr="000F709B" w:rsidRDefault="00BF1B2F" w:rsidP="00E75677">
            <w:pPr>
              <w:pStyle w:val="headingbang"/>
              <w:spacing w:before="0" w:after="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r w:rsidR="00935AE6" w:rsidRPr="000F709B" w14:paraId="0EC80442" w14:textId="77777777" w:rsidTr="009F179E">
        <w:trPr>
          <w:trHeight w:val="2987"/>
        </w:trPr>
        <w:tc>
          <w:tcPr>
            <w:tcW w:w="477" w:type="dxa"/>
          </w:tcPr>
          <w:p w14:paraId="0D3E52D6" w14:textId="2A57FF51" w:rsidR="00935AE6" w:rsidRDefault="00935AE6" w:rsidP="00E75677">
            <w:pPr>
              <w:spacing w:before="0" w:line="240" w:lineRule="auto"/>
              <w:rPr>
                <w:rFonts w:cs="Arial"/>
                <w:sz w:val="18"/>
                <w:szCs w:val="18"/>
              </w:rPr>
            </w:pPr>
            <w:r>
              <w:rPr>
                <w:rFonts w:cs="Arial"/>
                <w:sz w:val="18"/>
                <w:szCs w:val="18"/>
              </w:rPr>
              <w:lastRenderedPageBreak/>
              <w:t>9</w:t>
            </w:r>
          </w:p>
        </w:tc>
        <w:tc>
          <w:tcPr>
            <w:tcW w:w="1367" w:type="dxa"/>
          </w:tcPr>
          <w:p w14:paraId="2AFC8900" w14:textId="78ABC8AA" w:rsidR="00935AE6" w:rsidRDefault="009F179E" w:rsidP="00E75677">
            <w:pPr>
              <w:spacing w:before="0" w:line="240" w:lineRule="auto"/>
              <w:rPr>
                <w:rFonts w:cs="Arial"/>
                <w:sz w:val="18"/>
                <w:szCs w:val="18"/>
              </w:rPr>
            </w:pPr>
            <w:r>
              <w:rPr>
                <w:rFonts w:cs="Arial"/>
                <w:sz w:val="18"/>
                <w:szCs w:val="18"/>
              </w:rPr>
              <w:t>01-Nov-</w:t>
            </w:r>
            <w:r w:rsidR="00935AE6">
              <w:rPr>
                <w:rFonts w:cs="Arial"/>
                <w:sz w:val="18"/>
                <w:szCs w:val="18"/>
              </w:rPr>
              <w:t>2022</w:t>
            </w:r>
          </w:p>
        </w:tc>
        <w:tc>
          <w:tcPr>
            <w:tcW w:w="850" w:type="dxa"/>
          </w:tcPr>
          <w:p w14:paraId="352093C0" w14:textId="029EE60D" w:rsidR="00935AE6" w:rsidRDefault="00935AE6" w:rsidP="00E75677">
            <w:pPr>
              <w:spacing w:before="0" w:line="240" w:lineRule="auto"/>
              <w:rPr>
                <w:rFonts w:cs="Arial"/>
                <w:sz w:val="18"/>
                <w:szCs w:val="18"/>
              </w:rPr>
            </w:pPr>
            <w:r>
              <w:rPr>
                <w:rFonts w:cs="Arial"/>
                <w:sz w:val="18"/>
                <w:szCs w:val="18"/>
              </w:rPr>
              <w:t>3.3</w:t>
            </w:r>
          </w:p>
        </w:tc>
        <w:tc>
          <w:tcPr>
            <w:tcW w:w="2575" w:type="dxa"/>
          </w:tcPr>
          <w:p w14:paraId="19CF6441" w14:textId="77777777" w:rsidR="00935AE6" w:rsidRDefault="00935AE6" w:rsidP="00935AE6">
            <w:pPr>
              <w:keepNext/>
              <w:spacing w:before="0" w:line="276" w:lineRule="auto"/>
              <w:rPr>
                <w:rFonts w:cs="Arial"/>
                <w:iCs/>
                <w:color w:val="000000"/>
                <w:sz w:val="18"/>
                <w:szCs w:val="18"/>
              </w:rPr>
            </w:pPr>
            <w:r>
              <w:rPr>
                <w:rFonts w:cs="Arial"/>
                <w:iCs/>
                <w:color w:val="000000"/>
                <w:sz w:val="18"/>
                <w:szCs w:val="18"/>
              </w:rPr>
              <w:t xml:space="preserve">Deleted 2.5 </w:t>
            </w:r>
            <w:r w:rsidRPr="00935AE6">
              <w:rPr>
                <w:rFonts w:cs="Arial"/>
                <w:iCs/>
                <w:color w:val="000000"/>
                <w:sz w:val="18"/>
                <w:szCs w:val="18"/>
              </w:rPr>
              <w:t xml:space="preserve">until 30.09.2021 then DPO Tool, WEB application for handling, incidents </w:t>
            </w:r>
          </w:p>
          <w:p w14:paraId="44382B4E" w14:textId="6D420BE6" w:rsidR="00935AE6" w:rsidRDefault="00935AE6" w:rsidP="00935AE6">
            <w:pPr>
              <w:keepNext/>
              <w:spacing w:before="0" w:line="276" w:lineRule="auto"/>
              <w:rPr>
                <w:rFonts w:cs="Arial"/>
                <w:iCs/>
                <w:color w:val="000000"/>
                <w:sz w:val="18"/>
                <w:szCs w:val="18"/>
              </w:rPr>
            </w:pPr>
            <w:r>
              <w:rPr>
                <w:rFonts w:cs="Arial"/>
                <w:iCs/>
                <w:color w:val="000000"/>
                <w:sz w:val="18"/>
                <w:szCs w:val="18"/>
              </w:rPr>
              <w:t xml:space="preserve">Added 3.3. </w:t>
            </w:r>
            <w:r w:rsidRPr="00167C48">
              <w:rPr>
                <w:rFonts w:cs="Arial"/>
                <w:iCs/>
                <w:color w:val="000000"/>
                <w:sz w:val="18"/>
                <w:szCs w:val="18"/>
              </w:rPr>
              <w:t>Data Protection Law, Vietnam, Overview</w:t>
            </w:r>
            <w:r>
              <w:rPr>
                <w:rFonts w:cs="Arial"/>
                <w:iCs/>
                <w:color w:val="000000"/>
                <w:sz w:val="18"/>
                <w:szCs w:val="18"/>
              </w:rPr>
              <w:t>.</w:t>
            </w:r>
          </w:p>
          <w:p w14:paraId="59515EB8" w14:textId="7A6356F2" w:rsidR="00935AE6" w:rsidRDefault="00935AE6" w:rsidP="00355586">
            <w:pPr>
              <w:keepNext/>
              <w:spacing w:before="0" w:line="276" w:lineRule="auto"/>
              <w:rPr>
                <w:rFonts w:cs="Arial"/>
                <w:iCs/>
                <w:color w:val="000000"/>
                <w:sz w:val="18"/>
                <w:szCs w:val="18"/>
              </w:rPr>
            </w:pPr>
            <w:r>
              <w:rPr>
                <w:rFonts w:cs="Arial"/>
                <w:iCs/>
                <w:color w:val="000000"/>
                <w:sz w:val="18"/>
                <w:szCs w:val="18"/>
              </w:rPr>
              <w:t xml:space="preserve">Added 3.2 15 </w:t>
            </w:r>
            <w:r w:rsidRPr="00167C48">
              <w:rPr>
                <w:rFonts w:cs="Arial"/>
                <w:iCs/>
                <w:color w:val="000000"/>
                <w:sz w:val="18"/>
                <w:szCs w:val="18"/>
              </w:rPr>
              <w:t>Republic Act 10173 Data privacy Act 2012</w:t>
            </w:r>
            <w:r>
              <w:rPr>
                <w:rFonts w:cs="Arial"/>
                <w:iCs/>
                <w:color w:val="000000"/>
                <w:sz w:val="18"/>
                <w:szCs w:val="18"/>
              </w:rPr>
              <w:t xml:space="preserve"> </w:t>
            </w:r>
          </w:p>
          <w:p w14:paraId="3543EA28" w14:textId="21AB936F" w:rsidR="00935AE6" w:rsidRDefault="00935AE6" w:rsidP="00935AE6">
            <w:pPr>
              <w:spacing w:before="0" w:line="240" w:lineRule="auto"/>
              <w:rPr>
                <w:rFonts w:cs="Arial"/>
                <w:iCs/>
                <w:color w:val="000000"/>
                <w:sz w:val="18"/>
                <w:szCs w:val="18"/>
              </w:rPr>
            </w:pPr>
            <w:r>
              <w:rPr>
                <w:rFonts w:cs="Arial"/>
                <w:iCs/>
                <w:color w:val="000000"/>
                <w:sz w:val="18"/>
                <w:szCs w:val="18"/>
              </w:rPr>
              <w:t xml:space="preserve">Added 3.2 17 </w:t>
            </w:r>
            <w:proofErr w:type="spellStart"/>
            <w:r>
              <w:rPr>
                <w:rFonts w:cs="Arial"/>
                <w:iCs/>
                <w:color w:val="000000"/>
                <w:sz w:val="18"/>
                <w:szCs w:val="18"/>
              </w:rPr>
              <w:t>PDPA</w:t>
            </w:r>
            <w:proofErr w:type="spellEnd"/>
          </w:p>
          <w:p w14:paraId="3DD102EB" w14:textId="097AD906" w:rsidR="00935AE6" w:rsidRPr="007516CD" w:rsidRDefault="00935AE6" w:rsidP="00935AE6">
            <w:pPr>
              <w:spacing w:before="0" w:line="276" w:lineRule="auto"/>
              <w:rPr>
                <w:rFonts w:cs="Arial"/>
                <w:iCs/>
                <w:sz w:val="18"/>
                <w:szCs w:val="18"/>
              </w:rPr>
            </w:pPr>
            <w:r>
              <w:rPr>
                <w:rFonts w:cs="Arial"/>
                <w:iCs/>
                <w:color w:val="000000"/>
                <w:sz w:val="18"/>
                <w:szCs w:val="18"/>
              </w:rPr>
              <w:t>Added 3.2 18 TISAX</w:t>
            </w:r>
          </w:p>
        </w:tc>
        <w:tc>
          <w:tcPr>
            <w:tcW w:w="1701" w:type="dxa"/>
          </w:tcPr>
          <w:p w14:paraId="1669C6DE" w14:textId="0EA1C333" w:rsidR="00935AE6" w:rsidRDefault="00935AE6" w:rsidP="00E75677">
            <w:pPr>
              <w:spacing w:before="0" w:line="240" w:lineRule="auto"/>
              <w:rPr>
                <w:rFonts w:cs="Arial"/>
                <w:sz w:val="18"/>
                <w:szCs w:val="18"/>
              </w:rPr>
            </w:pPr>
            <w:r>
              <w:rPr>
                <w:rFonts w:cs="Arial"/>
                <w:sz w:val="18"/>
                <w:szCs w:val="18"/>
              </w:rPr>
              <w:t>Biannually revision</w:t>
            </w:r>
          </w:p>
        </w:tc>
        <w:tc>
          <w:tcPr>
            <w:tcW w:w="992" w:type="dxa"/>
          </w:tcPr>
          <w:p w14:paraId="72FEEFCA" w14:textId="6CE57D21" w:rsidR="00935AE6" w:rsidRDefault="00935AE6" w:rsidP="00E75677">
            <w:pPr>
              <w:spacing w:before="0" w:line="240" w:lineRule="auto"/>
              <w:rPr>
                <w:rFonts w:cs="Arial"/>
                <w:sz w:val="18"/>
                <w:szCs w:val="18"/>
              </w:rPr>
            </w:pPr>
            <w:r>
              <w:rPr>
                <w:rFonts w:cs="Arial"/>
                <w:sz w:val="18"/>
                <w:szCs w:val="18"/>
              </w:rPr>
              <w:t>LinhDTD1</w:t>
            </w:r>
          </w:p>
        </w:tc>
        <w:tc>
          <w:tcPr>
            <w:tcW w:w="1417" w:type="dxa"/>
          </w:tcPr>
          <w:p w14:paraId="3941FA9D" w14:textId="5CF73A61" w:rsidR="00935AE6" w:rsidRDefault="00935AE6" w:rsidP="00E75677">
            <w:pPr>
              <w:spacing w:before="0" w:line="240" w:lineRule="auto"/>
              <w:rPr>
                <w:rFonts w:cs="Arial"/>
                <w:sz w:val="18"/>
                <w:szCs w:val="18"/>
              </w:rPr>
            </w:pPr>
            <w:r>
              <w:rPr>
                <w:rFonts w:cs="Arial"/>
                <w:sz w:val="18"/>
                <w:szCs w:val="18"/>
              </w:rPr>
              <w:t>Michael Hering</w:t>
            </w:r>
          </w:p>
        </w:tc>
        <w:tc>
          <w:tcPr>
            <w:tcW w:w="923" w:type="dxa"/>
          </w:tcPr>
          <w:p w14:paraId="333837F8" w14:textId="565BC1D5" w:rsidR="00935AE6" w:rsidRDefault="00935AE6" w:rsidP="00E75677">
            <w:pPr>
              <w:pStyle w:val="headingbang"/>
              <w:spacing w:before="0" w:after="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bl>
    <w:p w14:paraId="58BB6698" w14:textId="77777777" w:rsidR="00200739" w:rsidRPr="009D7C4E" w:rsidRDefault="00200739" w:rsidP="00200739">
      <w:pPr>
        <w:pStyle w:val="Heading1"/>
        <w:rPr>
          <w:rFonts w:cs="Arial"/>
          <w:szCs w:val="24"/>
        </w:rPr>
      </w:pPr>
      <w:bookmarkStart w:id="0" w:name="_Toc69980523"/>
      <w:bookmarkStart w:id="1" w:name="_Toc118288304"/>
      <w:r w:rsidRPr="009D7C4E">
        <w:rPr>
          <w:rFonts w:cs="Arial"/>
          <w:szCs w:val="24"/>
        </w:rPr>
        <w:lastRenderedPageBreak/>
        <w:t>INTRODUCTION</w:t>
      </w:r>
      <w:bookmarkEnd w:id="0"/>
      <w:bookmarkEnd w:id="1"/>
    </w:p>
    <w:p w14:paraId="285BAF36" w14:textId="6EF2CB51" w:rsidR="00200739" w:rsidRPr="00600990" w:rsidRDefault="00A11C49" w:rsidP="00EB4F88">
      <w:pPr>
        <w:pStyle w:val="BodyText"/>
        <w:jc w:val="both"/>
      </w:pPr>
      <w:r>
        <w:t>FPT Software</w:t>
      </w:r>
      <w:r>
        <w:rPr>
          <w:lang w:val="en"/>
        </w:rPr>
        <w:t xml:space="preserve"> Company, Ltd. ("FPT Software" hereinafter)</w:t>
      </w:r>
      <w:r>
        <w:t xml:space="preserve"> Corporate Data Protection Policy, guidelines, procedures, and templates lay out strict requirements for processing personal data pertaining to customers, business partners, employees or any other individual. It meets the requirements of the European Data Protection Regulation/Directive as well as other national Data Protection Regulations and ensures compliance with the principles of national and international data protection laws in force all over the world. The policy, guidelines, procedures and templates set a globally applicable data protection and security standard for FPT Software and regulates the sharing of information between FPT Software, subsidiaries, and legal entities. FPT Software have established guiding data protection principles – among them transparency, data economy and data security – as FPT Software Personal Data Protection Handbook and ISM guidelines. </w:t>
      </w:r>
    </w:p>
    <w:p w14:paraId="605D63DC" w14:textId="77777777" w:rsidR="00200739" w:rsidRPr="009D7C4E" w:rsidRDefault="00200739" w:rsidP="00EB4F88">
      <w:pPr>
        <w:pStyle w:val="Heading2"/>
        <w:jc w:val="both"/>
        <w:rPr>
          <w:rFonts w:cs="Arial"/>
          <w:szCs w:val="22"/>
        </w:rPr>
      </w:pPr>
      <w:bookmarkStart w:id="2" w:name="_Toc69980524"/>
      <w:bookmarkStart w:id="3" w:name="_Toc118288305"/>
      <w:r w:rsidRPr="009D7C4E">
        <w:rPr>
          <w:rFonts w:cs="Arial"/>
          <w:szCs w:val="22"/>
        </w:rPr>
        <w:t>Purpose</w:t>
      </w:r>
      <w:bookmarkEnd w:id="2"/>
      <w:bookmarkEnd w:id="3"/>
    </w:p>
    <w:p w14:paraId="79CCE66E" w14:textId="4457F30C" w:rsidR="00200739" w:rsidRPr="00E32E22" w:rsidRDefault="00200739" w:rsidP="00EB4F88">
      <w:pPr>
        <w:jc w:val="both"/>
        <w:rPr>
          <w:rFonts w:cs="Arial"/>
        </w:rPr>
      </w:pPr>
      <w:r w:rsidRPr="00E32E22">
        <w:rPr>
          <w:rFonts w:cs="Arial"/>
        </w:rPr>
        <w:t xml:space="preserve">The purpose of this </w:t>
      </w:r>
      <w:r>
        <w:rPr>
          <w:rFonts w:cs="Arial"/>
        </w:rPr>
        <w:t>guideline</w:t>
      </w:r>
      <w:r w:rsidRPr="00E32E22">
        <w:rPr>
          <w:rFonts w:cs="Arial"/>
        </w:rPr>
        <w:t xml:space="preserve"> is to outline the internal </w:t>
      </w:r>
      <w:r>
        <w:rPr>
          <w:rFonts w:cs="Arial"/>
        </w:rPr>
        <w:t>personal data processing complaint and</w:t>
      </w:r>
      <w:r w:rsidRPr="00E32E22">
        <w:rPr>
          <w:rFonts w:cs="Arial"/>
        </w:rPr>
        <w:t xml:space="preserve"> </w:t>
      </w:r>
      <w:r>
        <w:rPr>
          <w:rFonts w:cs="Arial"/>
        </w:rPr>
        <w:t xml:space="preserve">appeal handling </w:t>
      </w:r>
      <w:r w:rsidRPr="00E32E22">
        <w:rPr>
          <w:rFonts w:cs="Arial"/>
        </w:rPr>
        <w:t xml:space="preserve">procedure of </w:t>
      </w:r>
      <w:r>
        <w:rPr>
          <w:rFonts w:cs="Arial"/>
        </w:rPr>
        <w:t>FPT Software,</w:t>
      </w:r>
      <w:r w:rsidRPr="00E32E22">
        <w:rPr>
          <w:rFonts w:cs="Arial"/>
        </w:rPr>
        <w:t xml:space="preserve"> and our internal and external response </w:t>
      </w:r>
      <w:r>
        <w:rPr>
          <w:rFonts w:cs="Arial"/>
        </w:rPr>
        <w:t>procedure. I</w:t>
      </w:r>
      <w:r w:rsidRPr="00E32E22">
        <w:rPr>
          <w:rFonts w:cs="Arial"/>
        </w:rPr>
        <w:t>t should be read in conjunction with our data protection policy</w:t>
      </w:r>
      <w:r>
        <w:rPr>
          <w:rFonts w:cs="Arial"/>
        </w:rPr>
        <w:t xml:space="preserve"> </w:t>
      </w:r>
      <w:proofErr w:type="spellStart"/>
      <w:r w:rsidRPr="00E32E22">
        <w:rPr>
          <w:rFonts w:cs="Arial"/>
        </w:rPr>
        <w:t>Policy_Personal</w:t>
      </w:r>
      <w:proofErr w:type="spellEnd"/>
      <w:r w:rsidRPr="00E32E22">
        <w:rPr>
          <w:rFonts w:cs="Arial"/>
        </w:rPr>
        <w:t xml:space="preserve"> Data Protection Management_V</w:t>
      </w:r>
      <w:r>
        <w:rPr>
          <w:rFonts w:cs="Arial"/>
        </w:rPr>
        <w:t>3.</w:t>
      </w:r>
      <w:r w:rsidR="00935AE6">
        <w:rPr>
          <w:rFonts w:cs="Arial"/>
        </w:rPr>
        <w:t>3</w:t>
      </w:r>
      <w:r>
        <w:rPr>
          <w:rFonts w:cs="Arial"/>
        </w:rPr>
        <w:t>.</w:t>
      </w:r>
    </w:p>
    <w:p w14:paraId="44B0FF4C" w14:textId="77777777" w:rsidR="00200739" w:rsidRPr="009F17B4" w:rsidRDefault="00200739" w:rsidP="00EB4F88">
      <w:pPr>
        <w:jc w:val="both"/>
        <w:rPr>
          <w:rFonts w:cs="Arial"/>
        </w:rPr>
      </w:pPr>
      <w:r>
        <w:rPr>
          <w:rFonts w:cs="Arial"/>
        </w:rPr>
        <w:t>Description of personal data processing complaint/appeal response and the contribution of</w:t>
      </w:r>
      <w:r w:rsidRPr="009F17B4">
        <w:rPr>
          <w:rFonts w:cs="Arial"/>
        </w:rPr>
        <w:t xml:space="preserve"> </w:t>
      </w:r>
      <w:r>
        <w:rPr>
          <w:rFonts w:cs="Arial"/>
        </w:rPr>
        <w:t>FPT Software’s senior management to minimize the risk of a</w:t>
      </w:r>
      <w:r w:rsidRPr="009F17B4">
        <w:rPr>
          <w:rFonts w:cs="Arial"/>
        </w:rPr>
        <w:t xml:space="preserve"> personal data</w:t>
      </w:r>
      <w:r>
        <w:rPr>
          <w:rFonts w:cs="Arial"/>
        </w:rPr>
        <w:t xml:space="preserve"> breach</w:t>
      </w:r>
      <w:r w:rsidRPr="009F17B4">
        <w:rPr>
          <w:rFonts w:cs="Arial"/>
        </w:rPr>
        <w:t xml:space="preserve"> </w:t>
      </w:r>
      <w:r>
        <w:rPr>
          <w:rFonts w:cs="Arial"/>
        </w:rPr>
        <w:t>or a breach of data subject rights by an</w:t>
      </w:r>
      <w:r w:rsidRPr="009F17B4">
        <w:rPr>
          <w:rFonts w:cs="Arial"/>
        </w:rPr>
        <w:t xml:space="preserve"> </w:t>
      </w:r>
      <w:r>
        <w:rPr>
          <w:rFonts w:cs="Arial"/>
        </w:rPr>
        <w:t xml:space="preserve">efficient </w:t>
      </w:r>
      <w:r w:rsidRPr="009F17B4">
        <w:rPr>
          <w:rFonts w:cs="Arial"/>
        </w:rPr>
        <w:t>Personal Information Management System (hereinafter PIMS)</w:t>
      </w:r>
      <w:r>
        <w:rPr>
          <w:rFonts w:cs="Arial"/>
        </w:rPr>
        <w:t xml:space="preserve">. </w:t>
      </w:r>
    </w:p>
    <w:p w14:paraId="553EF1D5" w14:textId="77777777" w:rsidR="00200739" w:rsidRPr="0064231A" w:rsidRDefault="00200739" w:rsidP="00EB4F88">
      <w:pPr>
        <w:jc w:val="both"/>
        <w:rPr>
          <w:rFonts w:cs="Arial"/>
          <w:lang w:eastAsia="zh-TW"/>
        </w:rPr>
      </w:pPr>
      <w:r w:rsidRPr="0064231A">
        <w:rPr>
          <w:rFonts w:cs="Arial"/>
        </w:rPr>
        <w:t xml:space="preserve">In order to enable the parties to complain about the personal data </w:t>
      </w:r>
      <w:r>
        <w:rPr>
          <w:rFonts w:cs="Arial"/>
        </w:rPr>
        <w:t xml:space="preserve">processing in a structured way </w:t>
      </w:r>
      <w:r w:rsidRPr="0064231A">
        <w:rPr>
          <w:rFonts w:cs="Arial"/>
        </w:rPr>
        <w:t xml:space="preserve">and </w:t>
      </w:r>
      <w:r>
        <w:rPr>
          <w:rFonts w:cs="Arial"/>
        </w:rPr>
        <w:t xml:space="preserve">that </w:t>
      </w:r>
      <w:r w:rsidRPr="0064231A">
        <w:rPr>
          <w:rFonts w:cs="Arial"/>
        </w:rPr>
        <w:t>complaints can be handled promptly and correctly; the company established these guidelines in accordance with the requirements of personal data protection related laws and regulations.</w:t>
      </w:r>
    </w:p>
    <w:p w14:paraId="6AD04F71" w14:textId="77777777" w:rsidR="00200739" w:rsidRPr="009D7C4E" w:rsidRDefault="00200739" w:rsidP="00EB4F88">
      <w:pPr>
        <w:pStyle w:val="Heading2"/>
        <w:jc w:val="both"/>
        <w:rPr>
          <w:rFonts w:cs="Arial"/>
          <w:szCs w:val="22"/>
        </w:rPr>
      </w:pPr>
      <w:bookmarkStart w:id="4" w:name="_Toc138667729"/>
      <w:bookmarkStart w:id="5" w:name="_Toc69980525"/>
      <w:bookmarkStart w:id="6" w:name="_Toc118288306"/>
      <w:r w:rsidRPr="009D7C4E">
        <w:rPr>
          <w:rFonts w:cs="Arial"/>
          <w:szCs w:val="22"/>
        </w:rPr>
        <w:t>Application Scope</w:t>
      </w:r>
      <w:bookmarkEnd w:id="4"/>
      <w:bookmarkEnd w:id="5"/>
      <w:bookmarkEnd w:id="6"/>
    </w:p>
    <w:p w14:paraId="5484A4CD" w14:textId="7EDBE214" w:rsidR="00200739" w:rsidRDefault="00E75677" w:rsidP="00EB4F88">
      <w:pPr>
        <w:jc w:val="both"/>
        <w:rPr>
          <w:rFonts w:cs="Arial"/>
        </w:rPr>
      </w:pPr>
      <w:r>
        <w:rPr>
          <w:rFonts w:cs="Arial"/>
        </w:rPr>
        <w:t xml:space="preserve">See </w:t>
      </w:r>
      <w:proofErr w:type="spellStart"/>
      <w:r w:rsidR="00A11C49">
        <w:rPr>
          <w:rFonts w:cs="Arial"/>
        </w:rPr>
        <w:t>Policy</w:t>
      </w:r>
      <w:r w:rsidRPr="00E75677">
        <w:rPr>
          <w:rFonts w:cs="Arial"/>
        </w:rPr>
        <w:t>_PIMS</w:t>
      </w:r>
      <w:proofErr w:type="spellEnd"/>
      <w:r w:rsidRPr="00E75677">
        <w:rPr>
          <w:rFonts w:cs="Arial"/>
        </w:rPr>
        <w:t xml:space="preserve"> scope_V1.</w:t>
      </w:r>
      <w:r w:rsidR="00935AE6">
        <w:rPr>
          <w:rFonts w:cs="Arial"/>
        </w:rPr>
        <w:t>2</w:t>
      </w:r>
      <w:r w:rsidR="00200739">
        <w:rPr>
          <w:rFonts w:cs="Arial"/>
        </w:rPr>
        <w:t>.</w:t>
      </w:r>
    </w:p>
    <w:p w14:paraId="7FB324F6" w14:textId="77777777" w:rsidR="00200739" w:rsidRDefault="00200739" w:rsidP="00EB4F88">
      <w:pPr>
        <w:jc w:val="both"/>
        <w:rPr>
          <w:rFonts w:cs="Arial"/>
        </w:rPr>
      </w:pPr>
      <w:r w:rsidRPr="0064231A">
        <w:rPr>
          <w:rFonts w:cs="Arial"/>
        </w:rPr>
        <w:t xml:space="preserve">This process </w:t>
      </w:r>
      <w:r>
        <w:rPr>
          <w:rFonts w:cs="Arial"/>
        </w:rPr>
        <w:t xml:space="preserve">must </w:t>
      </w:r>
      <w:r w:rsidRPr="0064231A">
        <w:rPr>
          <w:rFonts w:cs="Arial"/>
        </w:rPr>
        <w:t xml:space="preserve">be used </w:t>
      </w:r>
      <w:r>
        <w:rPr>
          <w:rFonts w:cs="Arial"/>
        </w:rPr>
        <w:t>by</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p>
    <w:p w14:paraId="169DDF11" w14:textId="46290037" w:rsidR="00200739" w:rsidRPr="00DE1A9F" w:rsidRDefault="00200739" w:rsidP="00EB4F88">
      <w:pPr>
        <w:jc w:val="both"/>
        <w:rPr>
          <w:rFonts w:cs="Arial"/>
        </w:rPr>
      </w:pPr>
      <w:r w:rsidRPr="00DE1A9F">
        <w:rPr>
          <w:rFonts w:cs="Arial"/>
        </w:rPr>
        <w:t xml:space="preserve">A thorough and transparent complaints procedure is considered necessary to enable the </w:t>
      </w:r>
      <w:r>
        <w:rPr>
          <w:rFonts w:cs="Arial"/>
        </w:rPr>
        <w:t>FPT Software</w:t>
      </w:r>
      <w:r w:rsidRPr="00DE1A9F">
        <w:rPr>
          <w:rFonts w:cs="Arial"/>
        </w:rPr>
        <w:t xml:space="preserve"> to consider what happened and how to rectify errors in relation to breaches of </w:t>
      </w:r>
      <w:r>
        <w:rPr>
          <w:rFonts w:cs="Arial"/>
        </w:rPr>
        <w:t xml:space="preserve">Personal Data Protection and Data Subject right. </w:t>
      </w:r>
      <w:r w:rsidRPr="00DE1A9F">
        <w:rPr>
          <w:rFonts w:cs="Arial"/>
        </w:rPr>
        <w:t xml:space="preserve">This </w:t>
      </w:r>
      <w:r>
        <w:rPr>
          <w:rFonts w:cs="Arial"/>
        </w:rPr>
        <w:t xml:space="preserve">guideline </w:t>
      </w:r>
      <w:r w:rsidRPr="00DE1A9F">
        <w:rPr>
          <w:rFonts w:cs="Arial"/>
        </w:rPr>
        <w:t>follows FPT Software Corporate Data Protection Policy.</w:t>
      </w:r>
      <w:r>
        <w:rPr>
          <w:rFonts w:cs="Arial"/>
        </w:rPr>
        <w:t xml:space="preserve"> </w:t>
      </w:r>
      <w:r w:rsidRPr="00DE1A9F">
        <w:rPr>
          <w:rFonts w:cs="Arial"/>
        </w:rPr>
        <w:t xml:space="preserve">This </w:t>
      </w:r>
      <w:r>
        <w:rPr>
          <w:rFonts w:cs="Arial"/>
        </w:rPr>
        <w:t xml:space="preserve">Data Protection </w:t>
      </w:r>
      <w:r w:rsidRPr="00DE1A9F">
        <w:rPr>
          <w:rFonts w:cs="Arial"/>
        </w:rPr>
        <w:t xml:space="preserve">Complaints </w:t>
      </w:r>
      <w:r>
        <w:rPr>
          <w:rFonts w:cs="Arial"/>
        </w:rPr>
        <w:t>Guideline</w:t>
      </w:r>
      <w:r w:rsidRPr="00DE1A9F">
        <w:rPr>
          <w:rFonts w:cs="Arial"/>
        </w:rPr>
        <w:t xml:space="preserve"> ensures that all complaints are treated with due consideration, </w:t>
      </w:r>
      <w:r w:rsidR="00E75677" w:rsidRPr="00DE1A9F">
        <w:rPr>
          <w:rFonts w:cs="Arial"/>
        </w:rPr>
        <w:t>fairness,</w:t>
      </w:r>
      <w:r w:rsidRPr="00DE1A9F">
        <w:rPr>
          <w:rFonts w:cs="Arial"/>
        </w:rPr>
        <w:t xml:space="preserve"> and equitability.</w:t>
      </w:r>
    </w:p>
    <w:p w14:paraId="41833FA8" w14:textId="77777777" w:rsidR="00200739" w:rsidRPr="00DE1A9F" w:rsidRDefault="00200739" w:rsidP="00200739">
      <w:pPr>
        <w:rPr>
          <w:rFonts w:cs="Arial"/>
        </w:rPr>
      </w:pPr>
    </w:p>
    <w:p w14:paraId="632DD783" w14:textId="77777777" w:rsidR="00200739" w:rsidRDefault="00200739" w:rsidP="00200739">
      <w:pPr>
        <w:spacing w:before="0" w:line="240" w:lineRule="auto"/>
        <w:rPr>
          <w:rFonts w:cs="Arial"/>
        </w:rPr>
      </w:pPr>
      <w:r>
        <w:rPr>
          <w:rFonts w:cs="Arial"/>
        </w:rPr>
        <w:br w:type="page"/>
      </w:r>
    </w:p>
    <w:p w14:paraId="70B1A15E" w14:textId="77777777" w:rsidR="00200739" w:rsidRDefault="00200739" w:rsidP="00200739">
      <w:pPr>
        <w:pStyle w:val="Heading2"/>
      </w:pPr>
      <w:bookmarkStart w:id="7" w:name="_Toc15371751"/>
      <w:bookmarkStart w:id="8" w:name="_Toc15975605"/>
      <w:bookmarkStart w:id="9" w:name="_Toc37319909"/>
      <w:bookmarkStart w:id="10" w:name="_Toc69980526"/>
      <w:bookmarkStart w:id="11" w:name="_Toc118288307"/>
      <w:r>
        <w:lastRenderedPageBreak/>
        <w:t>Application of national Laws</w:t>
      </w:r>
      <w:bookmarkEnd w:id="7"/>
      <w:bookmarkEnd w:id="8"/>
      <w:bookmarkEnd w:id="9"/>
      <w:bookmarkEnd w:id="10"/>
      <w:bookmarkEnd w:id="11"/>
    </w:p>
    <w:p w14:paraId="698878C0" w14:textId="3022B0D1" w:rsidR="00200739" w:rsidRPr="009F42B7" w:rsidRDefault="00200739" w:rsidP="00AC64A4">
      <w:pPr>
        <w:pStyle w:val="BodyText"/>
        <w:jc w:val="both"/>
      </w:pPr>
      <w:r w:rsidRPr="009F42B7">
        <w:t>Th</w:t>
      </w:r>
      <w:r>
        <w:t>e</w:t>
      </w:r>
      <w:r w:rsidRPr="009F42B7">
        <w:t xml:space="preserve"> Data Protection Policy</w:t>
      </w:r>
      <w:r>
        <w:t>, guidelines</w:t>
      </w:r>
      <w:r w:rsidR="00A11C49">
        <w:t>, procedures</w:t>
      </w:r>
      <w:r>
        <w:t xml:space="preserve">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 xml:space="preserve">Data Protection Policy </w:t>
      </w:r>
      <w:r>
        <w:t xml:space="preserve">and guidelines </w:t>
      </w:r>
      <w:r w:rsidRPr="009F42B7">
        <w:t xml:space="preserve">must also be observed in the absence of corresponding national legislation. The reporting requirements for data processing under national laws must be observed. </w:t>
      </w:r>
    </w:p>
    <w:p w14:paraId="338D4347" w14:textId="77777777" w:rsidR="00200739" w:rsidRDefault="00200739" w:rsidP="00AC64A4">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the Data Protection Policy</w:t>
      </w:r>
      <w:r>
        <w:t xml:space="preserve"> and this guideline</w:t>
      </w:r>
      <w:r w:rsidRPr="009F42B7">
        <w:t xml:space="preserve">, </w:t>
      </w:r>
      <w:r>
        <w:t>FPT Software</w:t>
      </w:r>
      <w:r w:rsidRPr="009F42B7">
        <w:t xml:space="preserve"> </w:t>
      </w:r>
      <w:r>
        <w:t xml:space="preserve">Global Data Protection Officer </w:t>
      </w:r>
      <w:r w:rsidRPr="009F42B7">
        <w:t xml:space="preserve">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Pr>
          <w:lang w:val="en-GB"/>
        </w:rPr>
        <w:t xml:space="preserve"> and this guideline</w:t>
      </w:r>
      <w:r w:rsidRPr="00291A84">
        <w:rPr>
          <w:lang w:val="en-GB"/>
        </w:rPr>
        <w:t xml:space="preserve">. </w:t>
      </w:r>
    </w:p>
    <w:p w14:paraId="4D5AD95A" w14:textId="77777777" w:rsidR="00200739" w:rsidRPr="00161282" w:rsidRDefault="00200739" w:rsidP="00200739">
      <w:pPr>
        <w:spacing w:before="0" w:line="240" w:lineRule="auto"/>
      </w:pPr>
      <w:r>
        <w:br w:type="page"/>
      </w:r>
    </w:p>
    <w:p w14:paraId="31513461" w14:textId="48CA82EC" w:rsidR="00200739" w:rsidRDefault="00AC64A4" w:rsidP="00200739">
      <w:pPr>
        <w:pStyle w:val="Heading2"/>
        <w:rPr>
          <w:rFonts w:cs="Arial"/>
          <w:szCs w:val="22"/>
        </w:rPr>
      </w:pPr>
      <w:bookmarkStart w:id="12" w:name="_Toc69980527"/>
      <w:bookmarkStart w:id="13" w:name="_Toc118288308"/>
      <w:r>
        <w:rPr>
          <w:rFonts w:cs="Arial"/>
          <w:szCs w:val="22"/>
        </w:rPr>
        <w:lastRenderedPageBreak/>
        <w:t>Responsibilities</w:t>
      </w:r>
      <w:r w:rsidR="00200739" w:rsidRPr="009D7C4E">
        <w:rPr>
          <w:rFonts w:cs="Arial"/>
          <w:szCs w:val="22"/>
        </w:rPr>
        <w:t>/Governance</w:t>
      </w:r>
      <w:bookmarkEnd w:id="12"/>
      <w:bookmarkEnd w:id="13"/>
    </w:p>
    <w:p w14:paraId="1353292F" w14:textId="77777777" w:rsidR="00200739" w:rsidRPr="00C66A5A" w:rsidRDefault="00200739" w:rsidP="00AC64A4">
      <w:pPr>
        <w:jc w:val="both"/>
        <w:rPr>
          <w:rFonts w:cs="Arial"/>
        </w:rPr>
      </w:pPr>
      <w:r w:rsidRPr="00C66A5A">
        <w:rPr>
          <w:rFonts w:cs="Arial"/>
        </w:rPr>
        <w:t xml:space="preserve">The Global Data Protection Officer, appointed by the FPT Software Board Member responsible for Data Protection on behalf of the CEO of FPT Software is fully responsible. </w:t>
      </w:r>
    </w:p>
    <w:p w14:paraId="785FAF89" w14:textId="77777777" w:rsidR="00200739" w:rsidRPr="00C66A5A" w:rsidRDefault="00200739" w:rsidP="00AC64A4">
      <w:pPr>
        <w:jc w:val="both"/>
        <w:rPr>
          <w:rFonts w:cs="Arial"/>
          <w:color w:val="000000"/>
        </w:rPr>
      </w:pPr>
      <w:r w:rsidRPr="00C66A5A">
        <w:rPr>
          <w:rFonts w:cs="Arial"/>
          <w:color w:val="000000"/>
          <w:shd w:val="clear" w:color="auto" w:fill="FFFFFF"/>
        </w:rPr>
        <w:t xml:space="preserve">The Global </w:t>
      </w:r>
      <w:r w:rsidRPr="00C66A5A">
        <w:rPr>
          <w:rFonts w:cs="Arial"/>
          <w:bCs/>
          <w:color w:val="000000"/>
          <w:shd w:val="clear" w:color="auto" w:fill="FFFFFF"/>
        </w:rPr>
        <w:t>Data Protection Officer</w:t>
      </w:r>
      <w:r w:rsidRPr="00C66A5A">
        <w:rPr>
          <w:rFonts w:cs="Arial"/>
          <w:color w:val="000000"/>
          <w:shd w:val="clear" w:color="auto" w:fill="FFFFFF"/>
        </w:rPr>
        <w:t> (GDPO) is an enterprise security leadership role required by the General </w:t>
      </w:r>
      <w:r w:rsidRPr="00C66A5A">
        <w:rPr>
          <w:rFonts w:cs="Arial"/>
          <w:bCs/>
          <w:color w:val="000000"/>
          <w:shd w:val="clear" w:color="auto" w:fill="FFFFFF"/>
        </w:rPr>
        <w:t>Data Protection</w:t>
      </w:r>
      <w:r w:rsidRPr="00C66A5A">
        <w:rPr>
          <w:rFonts w:cs="Arial"/>
          <w:color w:val="000000"/>
          <w:shd w:val="clear" w:color="auto" w:fill="FFFFFF"/>
        </w:rPr>
        <w:t> Regulation (GDPR) and other national laws. </w:t>
      </w:r>
      <w:r w:rsidRPr="00C66A5A">
        <w:rPr>
          <w:rFonts w:cs="Arial"/>
          <w:bCs/>
          <w:color w:val="000000"/>
          <w:shd w:val="clear" w:color="auto" w:fill="FFFFFF"/>
        </w:rPr>
        <w:t>The GDPO</w:t>
      </w:r>
      <w:r w:rsidRPr="00C66A5A">
        <w:rPr>
          <w:rFonts w:cs="Arial"/>
          <w:color w:val="000000"/>
          <w:shd w:val="clear" w:color="auto" w:fill="FFFFFF"/>
        </w:rPr>
        <w:t> is responsible for overseeing </w:t>
      </w:r>
      <w:r w:rsidRPr="00C66A5A">
        <w:rPr>
          <w:rFonts w:cs="Arial"/>
          <w:bCs/>
          <w:color w:val="000000"/>
          <w:shd w:val="clear" w:color="auto" w:fill="FFFFFF"/>
        </w:rPr>
        <w:t>data protection</w:t>
      </w:r>
      <w:r w:rsidRPr="00C66A5A">
        <w:rPr>
          <w:rFonts w:cs="Arial"/>
          <w:color w:val="000000"/>
          <w:shd w:val="clear" w:color="auto" w:fill="FFFFFF"/>
        </w:rPr>
        <w:t> strategy and implementation to ensure compliance with GDPR requirements and other national Personal Data Protection Acts. The primary role of the G</w:t>
      </w:r>
      <w:r w:rsidRPr="00C66A5A">
        <w:rPr>
          <w:rFonts w:cs="Arial"/>
          <w:color w:val="000000"/>
        </w:rPr>
        <w:t>DPO</w:t>
      </w:r>
      <w:r w:rsidRPr="00C66A5A">
        <w:rPr>
          <w:rFonts w:cs="Arial"/>
          <w:color w:val="000000"/>
          <w:shd w:val="clear" w:color="auto" w:fill="FFFFFF"/>
        </w:rPr>
        <w:t xml:space="preserve"> is to ensure that organization </w:t>
      </w:r>
      <w:r w:rsidRPr="00C66A5A">
        <w:rPr>
          <w:rFonts w:cs="Arial"/>
          <w:color w:val="000000"/>
        </w:rPr>
        <w:t xml:space="preserve">processes, </w:t>
      </w:r>
      <w:r w:rsidRPr="00C66A5A">
        <w:rPr>
          <w:rFonts w:cs="Arial"/>
          <w:color w:val="000000"/>
          <w:shd w:val="clear" w:color="auto" w:fill="FFFFFF"/>
        </w:rPr>
        <w:t>the </w:t>
      </w:r>
      <w:r w:rsidRPr="00C66A5A">
        <w:rPr>
          <w:rFonts w:cs="Arial"/>
          <w:color w:val="000000"/>
        </w:rPr>
        <w:t>personal data</w:t>
      </w:r>
      <w:r w:rsidRPr="00C66A5A">
        <w:rPr>
          <w:rFonts w:cs="Arial"/>
          <w:color w:val="000000"/>
          <w:shd w:val="clear" w:color="auto" w:fill="FFFFFF"/>
        </w:rPr>
        <w:t> of employees, customers, providers or any other individuals are in compliance with the applicable data protection rules. GDPO should be able to perform the duties independently.</w:t>
      </w:r>
    </w:p>
    <w:p w14:paraId="09DE1535" w14:textId="69C48F2D" w:rsidR="00200739" w:rsidRDefault="00200739" w:rsidP="00AC64A4">
      <w:pPr>
        <w:jc w:val="both"/>
      </w:pPr>
      <w:r>
        <w:rPr>
          <w:rFonts w:cs="Arial"/>
        </w:rPr>
        <w:t>GDPO s</w:t>
      </w:r>
      <w:r w:rsidRPr="0041622A">
        <w:rPr>
          <w:rFonts w:cs="Arial"/>
        </w:rPr>
        <w:t>upervise</w:t>
      </w:r>
      <w:r>
        <w:rPr>
          <w:rFonts w:cs="Arial"/>
        </w:rPr>
        <w:t>s</w:t>
      </w:r>
      <w:r w:rsidRPr="0041622A">
        <w:rPr>
          <w:rFonts w:cs="Arial"/>
        </w:rPr>
        <w:t xml:space="preserve"> the processing and response </w:t>
      </w:r>
      <w:r>
        <w:rPr>
          <w:rFonts w:cs="Arial"/>
        </w:rPr>
        <w:t>to Data Subjects regarding</w:t>
      </w:r>
      <w:r w:rsidRPr="0041622A">
        <w:rPr>
          <w:rFonts w:cs="Arial"/>
        </w:rPr>
        <w:t xml:space="preserve"> personal information complaints and appeals</w:t>
      </w:r>
      <w:r w:rsidRPr="005D5B5C">
        <w:rPr>
          <w:rFonts w:cs="Arial"/>
        </w:rPr>
        <w:t>. GDPO</w:t>
      </w:r>
      <w:r w:rsidRPr="00C66A5A">
        <w:rPr>
          <w:rFonts w:cs="Arial"/>
        </w:rPr>
        <w:t xml:space="preserve"> </w:t>
      </w:r>
      <w:r w:rsidR="00E75677" w:rsidRPr="00C66A5A">
        <w:rPr>
          <w:rFonts w:cs="Arial"/>
        </w:rPr>
        <w:t>must</w:t>
      </w:r>
      <w:r w:rsidRPr="00C66A5A">
        <w:rPr>
          <w:rFonts w:cs="Arial"/>
        </w:rPr>
        <w:t xml:space="preserve"> ensure that all departments of the company are following the company guidelines and the respective laws.</w:t>
      </w:r>
    </w:p>
    <w:p w14:paraId="27E03E3D" w14:textId="77777777" w:rsidR="00200739" w:rsidRDefault="00200739" w:rsidP="00200739">
      <w:pPr>
        <w:pStyle w:val="BodyText"/>
      </w:pPr>
    </w:p>
    <w:p w14:paraId="60C07589" w14:textId="77777777" w:rsidR="00200739" w:rsidRDefault="00200739" w:rsidP="00200739">
      <w:pPr>
        <w:pStyle w:val="BodyText"/>
      </w:pPr>
    </w:p>
    <w:p w14:paraId="5269FEA2" w14:textId="77777777" w:rsidR="00200739" w:rsidRDefault="00200739" w:rsidP="00200739">
      <w:pPr>
        <w:pStyle w:val="BodyText"/>
      </w:pPr>
    </w:p>
    <w:p w14:paraId="475A5BFA" w14:textId="77777777" w:rsidR="00200739" w:rsidRPr="004163EB" w:rsidRDefault="00200739" w:rsidP="00200739">
      <w:pPr>
        <w:pStyle w:val="BodyText"/>
      </w:pPr>
    </w:p>
    <w:p w14:paraId="70875877" w14:textId="77777777" w:rsidR="00200739" w:rsidRDefault="00200739" w:rsidP="00200739">
      <w:pPr>
        <w:pStyle w:val="BodyText"/>
      </w:pPr>
      <w:r w:rsidRPr="008E29CB">
        <w:rPr>
          <w:rFonts w:eastAsia="Microsoft JhengHei" w:cs="Arial"/>
          <w:noProof/>
        </w:rPr>
        <w:drawing>
          <wp:inline distT="0" distB="0" distL="0" distR="0" wp14:anchorId="167BC95E" wp14:editId="25E8D55F">
            <wp:extent cx="5733415" cy="322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3415" cy="3225165"/>
                    </a:xfrm>
                    <a:prstGeom prst="rect">
                      <a:avLst/>
                    </a:prstGeom>
                  </pic:spPr>
                </pic:pic>
              </a:graphicData>
            </a:graphic>
          </wp:inline>
        </w:drawing>
      </w:r>
    </w:p>
    <w:p w14:paraId="1359B47C" w14:textId="77777777" w:rsidR="00200739" w:rsidRPr="00F9218C" w:rsidRDefault="00200739" w:rsidP="00200739">
      <w:pPr>
        <w:pStyle w:val="BodyText"/>
      </w:pPr>
      <w:r w:rsidRPr="00D05177">
        <w:rPr>
          <w:rFonts w:cs="Arial"/>
          <w:noProof/>
          <w:szCs w:val="22"/>
        </w:rPr>
        <w:lastRenderedPageBreak/>
        <w:drawing>
          <wp:inline distT="0" distB="0" distL="0" distR="0" wp14:anchorId="704E5628" wp14:editId="084C22AA">
            <wp:extent cx="5733415" cy="3225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3415" cy="3225165"/>
                    </a:xfrm>
                    <a:prstGeom prst="rect">
                      <a:avLst/>
                    </a:prstGeom>
                  </pic:spPr>
                </pic:pic>
              </a:graphicData>
            </a:graphic>
          </wp:inline>
        </w:drawing>
      </w:r>
    </w:p>
    <w:p w14:paraId="736DB835" w14:textId="77777777" w:rsidR="00200739" w:rsidRPr="004163EB" w:rsidRDefault="00200739" w:rsidP="00200739">
      <w:pPr>
        <w:spacing w:before="0" w:line="240" w:lineRule="auto"/>
        <w:rPr>
          <w:rFonts w:eastAsia="Microsoft JhengHei" w:cs="Arial"/>
          <w:bCs/>
          <w:color w:val="000000"/>
        </w:rPr>
      </w:pPr>
      <w:r w:rsidRPr="0064231A">
        <w:rPr>
          <w:rStyle w:val="notranslate"/>
          <w:rFonts w:eastAsia="Microsoft JhengHei" w:cs="Arial"/>
          <w:bCs/>
          <w:color w:val="000000"/>
        </w:rPr>
        <w:t xml:space="preserve">Acceptance </w:t>
      </w:r>
      <w:r>
        <w:rPr>
          <w:rStyle w:val="notranslate"/>
          <w:rFonts w:eastAsia="Microsoft JhengHei" w:cs="Arial"/>
          <w:bCs/>
          <w:color w:val="000000"/>
        </w:rPr>
        <w:t>W</w:t>
      </w:r>
      <w:r w:rsidRPr="0064231A">
        <w:rPr>
          <w:rStyle w:val="notranslate"/>
          <w:rFonts w:eastAsia="Microsoft JhengHei" w:cs="Arial"/>
          <w:bCs/>
          <w:color w:val="000000"/>
        </w:rPr>
        <w:t>indow</w:t>
      </w:r>
    </w:p>
    <w:p w14:paraId="5340CE2D" w14:textId="77777777" w:rsidR="00200739" w:rsidRPr="0041622A" w:rsidRDefault="00200739" w:rsidP="00200739">
      <w:pPr>
        <w:ind w:left="851"/>
        <w:rPr>
          <w:rFonts w:cs="Arial"/>
          <w:color w:val="000000"/>
        </w:rPr>
      </w:pPr>
      <w:r w:rsidRPr="0041622A">
        <w:rPr>
          <w:rFonts w:cs="Arial"/>
        </w:rPr>
        <w:t>Accept complaints and appeals</w:t>
      </w:r>
    </w:p>
    <w:p w14:paraId="7832772D" w14:textId="77777777" w:rsidR="00200739" w:rsidRPr="0041622A" w:rsidRDefault="00200739" w:rsidP="00EB4F88">
      <w:pPr>
        <w:ind w:left="851"/>
        <w:jc w:val="both"/>
        <w:rPr>
          <w:rFonts w:cs="Arial"/>
        </w:rPr>
      </w:pPr>
      <w:r w:rsidRPr="0041622A">
        <w:rPr>
          <w:rStyle w:val="notranslate"/>
          <w:rFonts w:eastAsia="Microsoft JhengHei" w:cs="Arial"/>
          <w:bCs/>
          <w:color w:val="000000"/>
        </w:rPr>
        <w:t>Confirm the identity of the applicant</w:t>
      </w:r>
    </w:p>
    <w:p w14:paraId="4312E997" w14:textId="77777777" w:rsidR="00200739" w:rsidRPr="0041622A" w:rsidRDefault="00200739" w:rsidP="00EB4F88">
      <w:pPr>
        <w:ind w:left="851"/>
        <w:jc w:val="both"/>
        <w:rPr>
          <w:rFonts w:cs="Arial"/>
        </w:rPr>
      </w:pPr>
      <w:r w:rsidRPr="0041622A">
        <w:rPr>
          <w:rStyle w:val="notranslate"/>
          <w:rFonts w:eastAsia="Microsoft JhengHei" w:cs="Arial"/>
          <w:bCs/>
          <w:color w:val="000000"/>
        </w:rPr>
        <w:t>Report to I</w:t>
      </w:r>
      <w:r>
        <w:rPr>
          <w:rStyle w:val="notranslate"/>
          <w:rFonts w:eastAsia="Microsoft JhengHei" w:cs="Arial"/>
          <w:bCs/>
          <w:color w:val="000000"/>
        </w:rPr>
        <w:t>ncident Execution</w:t>
      </w:r>
      <w:r w:rsidRPr="0041622A">
        <w:rPr>
          <w:rStyle w:val="notranslate"/>
          <w:rFonts w:eastAsia="Microsoft JhengHei" w:cs="Arial"/>
          <w:bCs/>
          <w:color w:val="000000"/>
        </w:rPr>
        <w:t xml:space="preserve"> </w:t>
      </w:r>
      <w:r>
        <w:rPr>
          <w:rStyle w:val="notranslate"/>
          <w:rFonts w:eastAsia="Microsoft JhengHei" w:cs="Arial"/>
          <w:bCs/>
          <w:color w:val="000000"/>
        </w:rPr>
        <w:t>G</w:t>
      </w:r>
      <w:r w:rsidRPr="0041622A">
        <w:rPr>
          <w:rStyle w:val="notranslate"/>
          <w:rFonts w:eastAsia="Microsoft JhengHei" w:cs="Arial"/>
          <w:bCs/>
          <w:color w:val="000000"/>
        </w:rPr>
        <w:t>roup the reason, processing and result of complaints and appeals</w:t>
      </w:r>
    </w:p>
    <w:p w14:paraId="47982397" w14:textId="77777777" w:rsidR="00200739" w:rsidRPr="0064231A" w:rsidRDefault="00200739" w:rsidP="00EB4F88">
      <w:pPr>
        <w:pStyle w:val="Heading3"/>
        <w:numPr>
          <w:ilvl w:val="0"/>
          <w:numId w:val="0"/>
        </w:numPr>
        <w:ind w:left="720" w:hanging="720"/>
        <w:jc w:val="both"/>
        <w:rPr>
          <w:rFonts w:cs="Arial"/>
          <w:sz w:val="20"/>
        </w:rPr>
      </w:pPr>
      <w:r w:rsidRPr="0064231A">
        <w:rPr>
          <w:rStyle w:val="notranslate"/>
          <w:rFonts w:eastAsia="Microsoft JhengHei" w:cs="Arial"/>
          <w:bCs/>
          <w:color w:val="000000"/>
          <w:sz w:val="20"/>
        </w:rPr>
        <w:t xml:space="preserve">Incident </w:t>
      </w:r>
      <w:r>
        <w:rPr>
          <w:rStyle w:val="notranslate"/>
          <w:rFonts w:eastAsia="Microsoft JhengHei" w:cs="Arial"/>
          <w:bCs/>
          <w:color w:val="000000"/>
          <w:sz w:val="20"/>
        </w:rPr>
        <w:t>Execution</w:t>
      </w:r>
      <w:r w:rsidRPr="0064231A">
        <w:rPr>
          <w:rStyle w:val="notranslate"/>
          <w:rFonts w:eastAsia="Microsoft JhengHei" w:cs="Arial"/>
          <w:bCs/>
          <w:color w:val="000000"/>
          <w:sz w:val="20"/>
        </w:rPr>
        <w:t xml:space="preserve"> </w:t>
      </w:r>
      <w:r>
        <w:rPr>
          <w:rStyle w:val="notranslate"/>
          <w:rFonts w:eastAsia="Microsoft JhengHei" w:cs="Arial"/>
          <w:bCs/>
          <w:color w:val="000000"/>
          <w:sz w:val="20"/>
        </w:rPr>
        <w:t>G</w:t>
      </w:r>
      <w:r w:rsidRPr="0064231A">
        <w:rPr>
          <w:rStyle w:val="notranslate"/>
          <w:rFonts w:eastAsia="Microsoft JhengHei" w:cs="Arial"/>
          <w:bCs/>
          <w:color w:val="000000"/>
          <w:sz w:val="20"/>
        </w:rPr>
        <w:t>roup</w:t>
      </w:r>
    </w:p>
    <w:p w14:paraId="329A3A9D" w14:textId="77777777" w:rsidR="00200739" w:rsidRPr="0041622A" w:rsidRDefault="00200739" w:rsidP="00EB4F88">
      <w:pPr>
        <w:ind w:left="851"/>
        <w:jc w:val="both"/>
        <w:rPr>
          <w:rFonts w:cs="Arial"/>
        </w:rPr>
      </w:pPr>
      <w:r w:rsidRPr="0041622A">
        <w:rPr>
          <w:rFonts w:cs="Arial"/>
        </w:rPr>
        <w:t>Assist the departments and individuals to manage, to respond and to solve complaints and appeals</w:t>
      </w:r>
    </w:p>
    <w:p w14:paraId="61C75BF2" w14:textId="77777777" w:rsidR="00200739" w:rsidRPr="0041622A" w:rsidRDefault="00200739" w:rsidP="00EB4F88">
      <w:pPr>
        <w:ind w:left="851"/>
        <w:jc w:val="both"/>
        <w:rPr>
          <w:rFonts w:cs="Arial"/>
        </w:rPr>
      </w:pPr>
      <w:r w:rsidRPr="0041622A">
        <w:rPr>
          <w:rFonts w:cs="Arial"/>
        </w:rPr>
        <w:t>Track the complaints and appeals handling process</w:t>
      </w:r>
    </w:p>
    <w:p w14:paraId="381F349F" w14:textId="02308656" w:rsidR="00200739" w:rsidRPr="00E55098" w:rsidRDefault="00200739" w:rsidP="00EB4F88">
      <w:pPr>
        <w:jc w:val="both"/>
      </w:pPr>
      <w:r w:rsidRPr="00E55098">
        <w:t xml:space="preserve">More details in </w:t>
      </w:r>
      <w:proofErr w:type="spellStart"/>
      <w:r w:rsidRPr="00E55098">
        <w:t>Guideline_Personal</w:t>
      </w:r>
      <w:proofErr w:type="spellEnd"/>
      <w:r w:rsidRPr="00E55098">
        <w:t xml:space="preserve"> D</w:t>
      </w:r>
      <w:r>
        <w:t>ata Protection Organization_V3.</w:t>
      </w:r>
      <w:r w:rsidR="00935AE6">
        <w:t>3.</w:t>
      </w:r>
    </w:p>
    <w:p w14:paraId="20328C35" w14:textId="77777777" w:rsidR="00200739" w:rsidRPr="0064231A" w:rsidRDefault="00200739" w:rsidP="00200739">
      <w:pPr>
        <w:pStyle w:val="BodyText"/>
        <w:rPr>
          <w:rFonts w:cs="Arial"/>
        </w:rPr>
      </w:pPr>
    </w:p>
    <w:p w14:paraId="4E399BEE" w14:textId="77777777" w:rsidR="00200739" w:rsidRPr="009D7C4E" w:rsidRDefault="00200739" w:rsidP="00200739">
      <w:pPr>
        <w:pStyle w:val="Heading1"/>
        <w:rPr>
          <w:rFonts w:cs="Arial"/>
          <w:szCs w:val="24"/>
        </w:rPr>
      </w:pPr>
      <w:bookmarkStart w:id="14" w:name="_Toc69980528"/>
      <w:bookmarkStart w:id="15" w:name="_Toc118288309"/>
      <w:r w:rsidRPr="009D7C4E">
        <w:rPr>
          <w:rFonts w:cs="Arial"/>
          <w:szCs w:val="24"/>
        </w:rPr>
        <w:lastRenderedPageBreak/>
        <w:t>GUIDELINE CONTENT</w:t>
      </w:r>
      <w:bookmarkEnd w:id="14"/>
      <w:bookmarkEnd w:id="15"/>
      <w:r w:rsidRPr="009D7C4E">
        <w:rPr>
          <w:rFonts w:cs="Arial"/>
          <w:szCs w:val="24"/>
        </w:rPr>
        <w:t xml:space="preserve"> </w:t>
      </w:r>
    </w:p>
    <w:p w14:paraId="131FC8AA" w14:textId="77777777" w:rsidR="00200739" w:rsidRPr="00DE1A9F" w:rsidRDefault="00200739" w:rsidP="00AC64A4">
      <w:pPr>
        <w:jc w:val="both"/>
        <w:rPr>
          <w:rFonts w:cs="Arial"/>
        </w:rPr>
      </w:pPr>
      <w:r w:rsidRPr="00DE1A9F">
        <w:rPr>
          <w:rFonts w:cs="Arial"/>
        </w:rPr>
        <w:t>If anyone wishes to complain to F</w:t>
      </w:r>
      <w:r>
        <w:rPr>
          <w:rFonts w:cs="Arial"/>
        </w:rPr>
        <w:t>PT Software</w:t>
      </w:r>
      <w:r w:rsidRPr="00DE1A9F">
        <w:rPr>
          <w:rFonts w:cs="Arial"/>
        </w:rPr>
        <w:t xml:space="preserve"> about how their personal </w:t>
      </w:r>
      <w:r>
        <w:rPr>
          <w:rFonts w:cs="Arial"/>
        </w:rPr>
        <w:t>data</w:t>
      </w:r>
      <w:r w:rsidRPr="00DE1A9F">
        <w:rPr>
          <w:rFonts w:cs="Arial"/>
        </w:rPr>
        <w:t xml:space="preserve"> has been processed, their </w:t>
      </w:r>
      <w:r>
        <w:rPr>
          <w:rFonts w:cs="Arial"/>
        </w:rPr>
        <w:t>personal data processing</w:t>
      </w:r>
      <w:r w:rsidRPr="00DE1A9F">
        <w:rPr>
          <w:rFonts w:cs="Arial"/>
        </w:rPr>
        <w:t xml:space="preserve"> complaint has been handled, or appeal against any decision made following a complaint, they can submit their complaint in writing. This should be addressed directly to </w:t>
      </w:r>
      <w:r>
        <w:rPr>
          <w:rFonts w:cs="Arial"/>
        </w:rPr>
        <w:t>the Global Data Protection Office of FPT Software. The contact information is on the FPT Software Web presence (home page).</w:t>
      </w:r>
    </w:p>
    <w:p w14:paraId="4561D502" w14:textId="77777777" w:rsidR="00200739" w:rsidRDefault="00200739" w:rsidP="00AC64A4">
      <w:pPr>
        <w:jc w:val="both"/>
        <w:rPr>
          <w:rFonts w:cs="Arial"/>
        </w:rPr>
      </w:pPr>
      <w:r w:rsidRPr="0064231A">
        <w:rPr>
          <w:rFonts w:cs="Arial"/>
        </w:rPr>
        <w:t>The company's customer service department </w:t>
      </w:r>
      <w:r>
        <w:rPr>
          <w:rFonts w:cs="Arial"/>
        </w:rPr>
        <w:t xml:space="preserve">or account manager </w:t>
      </w:r>
      <w:r w:rsidRPr="0064231A">
        <w:rPr>
          <w:rFonts w:cs="Arial"/>
        </w:rPr>
        <w:t>is the acceptance window for complaints and appeals</w:t>
      </w:r>
      <w:r>
        <w:rPr>
          <w:rFonts w:cs="Arial"/>
        </w:rPr>
        <w:t xml:space="preserve"> from customers, HR department is </w:t>
      </w:r>
      <w:r w:rsidRPr="0064231A">
        <w:rPr>
          <w:rFonts w:cs="Arial"/>
        </w:rPr>
        <w:t>acceptance window for complaints and appeals</w:t>
      </w:r>
      <w:r>
        <w:rPr>
          <w:rFonts w:cs="Arial"/>
        </w:rPr>
        <w:t xml:space="preserve"> from FPT Software employees. T</w:t>
      </w:r>
      <w:r w:rsidRPr="0064231A">
        <w:rPr>
          <w:rFonts w:cs="Arial"/>
        </w:rPr>
        <w:t>he Incident</w:t>
      </w:r>
      <w:r>
        <w:rPr>
          <w:rFonts w:cs="Arial"/>
        </w:rPr>
        <w:t xml:space="preserve"> Execution</w:t>
      </w:r>
      <w:r w:rsidRPr="0064231A">
        <w:rPr>
          <w:rFonts w:cs="Arial"/>
        </w:rPr>
        <w:t xml:space="preserve"> </w:t>
      </w:r>
      <w:r>
        <w:rPr>
          <w:rFonts w:cs="Arial"/>
        </w:rPr>
        <w:t>G</w:t>
      </w:r>
      <w:r w:rsidRPr="0064231A">
        <w:rPr>
          <w:rFonts w:cs="Arial"/>
        </w:rPr>
        <w:t>roup is the reply window.</w:t>
      </w:r>
    </w:p>
    <w:p w14:paraId="553590DB" w14:textId="77777777" w:rsidR="00200739" w:rsidRPr="0064231A" w:rsidRDefault="00200739" w:rsidP="00AC64A4">
      <w:pPr>
        <w:jc w:val="both"/>
        <w:rPr>
          <w:rFonts w:cs="Arial"/>
        </w:rPr>
      </w:pPr>
      <w:r>
        <w:rPr>
          <w:rFonts w:cs="Arial"/>
        </w:rPr>
        <w:t>If c</w:t>
      </w:r>
      <w:r w:rsidRPr="00DE1A9F">
        <w:rPr>
          <w:rFonts w:cs="Arial"/>
        </w:rPr>
        <w:t xml:space="preserve">omplaints regarding how personal data has been processed submitted to </w:t>
      </w:r>
      <w:r>
        <w:rPr>
          <w:rFonts w:cs="Arial"/>
        </w:rPr>
        <w:t>FPT Software G</w:t>
      </w:r>
      <w:r w:rsidRPr="00DE1A9F">
        <w:rPr>
          <w:rFonts w:cs="Arial"/>
        </w:rPr>
        <w:t>DPO</w:t>
      </w:r>
      <w:r>
        <w:rPr>
          <w:rFonts w:cs="Arial"/>
        </w:rPr>
        <w:t>, customer service department or HR department, a r</w:t>
      </w:r>
      <w:r w:rsidRPr="00DE1A9F">
        <w:rPr>
          <w:rFonts w:cs="Arial"/>
        </w:rPr>
        <w:t xml:space="preserve">eceipt will be acknowledged within 7 working days. </w:t>
      </w:r>
      <w:r w:rsidRPr="0064231A">
        <w:rPr>
          <w:rFonts w:cs="Arial"/>
        </w:rPr>
        <w:t>Incident</w:t>
      </w:r>
      <w:r>
        <w:rPr>
          <w:rFonts w:cs="Arial"/>
        </w:rPr>
        <w:t xml:space="preserve"> Execution</w:t>
      </w:r>
      <w:r w:rsidRPr="0064231A">
        <w:rPr>
          <w:rFonts w:cs="Arial"/>
        </w:rPr>
        <w:t xml:space="preserve"> </w:t>
      </w:r>
      <w:r>
        <w:rPr>
          <w:rFonts w:cs="Arial"/>
        </w:rPr>
        <w:t>G</w:t>
      </w:r>
      <w:r w:rsidRPr="0064231A">
        <w:rPr>
          <w:rFonts w:cs="Arial"/>
        </w:rPr>
        <w:t>roup</w:t>
      </w:r>
      <w:r w:rsidRPr="00DE1A9F">
        <w:rPr>
          <w:rFonts w:cs="Arial"/>
        </w:rPr>
        <w:t xml:space="preserve"> will review and respond in writing to a complaint within 14 working days of receipt of the complaint. If a longer time is required </w:t>
      </w:r>
      <w:r w:rsidRPr="0064231A">
        <w:rPr>
          <w:rFonts w:cs="Arial"/>
        </w:rPr>
        <w:t>Incident</w:t>
      </w:r>
      <w:r>
        <w:rPr>
          <w:rFonts w:cs="Arial"/>
        </w:rPr>
        <w:t xml:space="preserve"> Execution</w:t>
      </w:r>
      <w:r w:rsidRPr="0064231A">
        <w:rPr>
          <w:rFonts w:cs="Arial"/>
        </w:rPr>
        <w:t xml:space="preserve"> </w:t>
      </w:r>
      <w:r>
        <w:rPr>
          <w:rFonts w:cs="Arial"/>
        </w:rPr>
        <w:t>G</w:t>
      </w:r>
      <w:r w:rsidRPr="0064231A">
        <w:rPr>
          <w:rFonts w:cs="Arial"/>
        </w:rPr>
        <w:t>roup</w:t>
      </w:r>
      <w:r>
        <w:rPr>
          <w:rFonts w:cs="Arial"/>
        </w:rPr>
        <w:t xml:space="preserve"> </w:t>
      </w:r>
      <w:r w:rsidRPr="00DE1A9F">
        <w:rPr>
          <w:rFonts w:cs="Arial"/>
        </w:rPr>
        <w:t xml:space="preserve">will notify the Complainant of the delay and will provide an estimate of when </w:t>
      </w:r>
      <w:r>
        <w:rPr>
          <w:rFonts w:cs="Arial"/>
        </w:rPr>
        <w:t>he</w:t>
      </w:r>
      <w:r w:rsidRPr="00DE1A9F">
        <w:rPr>
          <w:rFonts w:cs="Arial"/>
        </w:rPr>
        <w:t xml:space="preserve"> will provide a substantive response. If a Complainant is dissatisfied with the way in which their complaint has been handled, then they can forward their complaint to</w:t>
      </w:r>
      <w:r>
        <w:rPr>
          <w:rFonts w:cs="Arial"/>
        </w:rPr>
        <w:t xml:space="preserve"> FPT Software GDPO.</w:t>
      </w:r>
    </w:p>
    <w:p w14:paraId="03030751" w14:textId="77777777" w:rsidR="00200739" w:rsidRPr="009D7C4E" w:rsidRDefault="00200739" w:rsidP="00200739">
      <w:pPr>
        <w:pStyle w:val="Heading2"/>
        <w:rPr>
          <w:rFonts w:cs="Arial"/>
          <w:szCs w:val="22"/>
        </w:rPr>
      </w:pPr>
      <w:bookmarkStart w:id="16" w:name="_Toc69980529"/>
      <w:bookmarkStart w:id="17" w:name="_Toc118288310"/>
      <w:r w:rsidRPr="009D7C4E">
        <w:rPr>
          <w:rFonts w:cs="Arial"/>
          <w:szCs w:val="22"/>
        </w:rPr>
        <w:t>Acceptance</w:t>
      </w:r>
      <w:bookmarkEnd w:id="16"/>
      <w:bookmarkEnd w:id="17"/>
      <w:r w:rsidRPr="009D7C4E">
        <w:rPr>
          <w:rFonts w:cs="Arial"/>
          <w:szCs w:val="22"/>
        </w:rPr>
        <w:t xml:space="preserve"> </w:t>
      </w:r>
    </w:p>
    <w:p w14:paraId="263C552A" w14:textId="328EB205" w:rsidR="00200739" w:rsidRPr="0064231A" w:rsidRDefault="00200739" w:rsidP="00200739">
      <w:pPr>
        <w:pStyle w:val="Heading3"/>
        <w:numPr>
          <w:ilvl w:val="0"/>
          <w:numId w:val="0"/>
        </w:numPr>
        <w:ind w:left="720" w:hanging="720"/>
        <w:rPr>
          <w:rFonts w:cs="Arial"/>
          <w:sz w:val="20"/>
        </w:rPr>
      </w:pPr>
      <w:r>
        <w:rPr>
          <w:rStyle w:val="notranslate"/>
          <w:rFonts w:eastAsia="Microsoft JhengHei" w:cs="Arial"/>
          <w:bCs/>
          <w:color w:val="000000"/>
          <w:sz w:val="20"/>
        </w:rPr>
        <w:t xml:space="preserve">Entry of </w:t>
      </w:r>
      <w:r w:rsidRPr="0064231A">
        <w:rPr>
          <w:rStyle w:val="notranslate"/>
          <w:rFonts w:eastAsia="Microsoft JhengHei" w:cs="Arial"/>
          <w:bCs/>
          <w:color w:val="000000"/>
          <w:sz w:val="20"/>
        </w:rPr>
        <w:t>complaints and appeals</w:t>
      </w:r>
      <w:r>
        <w:rPr>
          <w:rStyle w:val="notranslate"/>
          <w:rFonts w:eastAsia="Microsoft JhengHei" w:cs="Arial"/>
          <w:bCs/>
          <w:color w:val="000000"/>
          <w:sz w:val="20"/>
        </w:rPr>
        <w:t xml:space="preserve"> </w:t>
      </w:r>
      <w:r w:rsidR="003038A6">
        <w:rPr>
          <w:rStyle w:val="notranslate"/>
          <w:rFonts w:eastAsia="Microsoft JhengHei" w:cs="Arial"/>
          <w:bCs/>
          <w:color w:val="000000"/>
          <w:sz w:val="20"/>
        </w:rPr>
        <w:t>according to</w:t>
      </w:r>
      <w:r>
        <w:rPr>
          <w:rStyle w:val="notranslate"/>
          <w:rFonts w:eastAsia="Microsoft JhengHei" w:cs="Arial"/>
          <w:bCs/>
          <w:color w:val="000000"/>
          <w:sz w:val="20"/>
        </w:rPr>
        <w:t xml:space="preserve"> the company regulations by</w:t>
      </w:r>
    </w:p>
    <w:p w14:paraId="739C0293" w14:textId="77777777" w:rsidR="00200739" w:rsidRPr="0064231A" w:rsidRDefault="00200739" w:rsidP="00200739">
      <w:pPr>
        <w:pStyle w:val="ListParagraph"/>
        <w:numPr>
          <w:ilvl w:val="0"/>
          <w:numId w:val="44"/>
        </w:numPr>
        <w:rPr>
          <w:rFonts w:cs="Arial"/>
        </w:rPr>
      </w:pPr>
      <w:r w:rsidRPr="0064231A">
        <w:rPr>
          <w:rFonts w:cs="Arial"/>
        </w:rPr>
        <w:t>Mail in writing</w:t>
      </w:r>
    </w:p>
    <w:p w14:paraId="431BBBD6" w14:textId="77777777" w:rsidR="00200739" w:rsidRPr="0064231A" w:rsidRDefault="00200739" w:rsidP="00EB4F88">
      <w:pPr>
        <w:pStyle w:val="ListParagraph"/>
        <w:numPr>
          <w:ilvl w:val="0"/>
          <w:numId w:val="44"/>
        </w:numPr>
        <w:jc w:val="both"/>
        <w:rPr>
          <w:rFonts w:cs="Arial"/>
        </w:rPr>
      </w:pPr>
      <w:r w:rsidRPr="0064231A">
        <w:rPr>
          <w:rFonts w:cs="Arial"/>
        </w:rPr>
        <w:t>Personal visits</w:t>
      </w:r>
    </w:p>
    <w:p w14:paraId="1A01D317" w14:textId="77777777" w:rsidR="00200739" w:rsidRPr="0064231A" w:rsidRDefault="00200739" w:rsidP="00EB4F88">
      <w:pPr>
        <w:pStyle w:val="ListParagraph"/>
        <w:numPr>
          <w:ilvl w:val="0"/>
          <w:numId w:val="44"/>
        </w:numPr>
        <w:jc w:val="both"/>
        <w:rPr>
          <w:rFonts w:cs="Arial"/>
        </w:rPr>
      </w:pPr>
      <w:r w:rsidRPr="0064231A">
        <w:rPr>
          <w:rFonts w:cs="Arial"/>
        </w:rPr>
        <w:t>phone call</w:t>
      </w:r>
    </w:p>
    <w:p w14:paraId="530BE4BC" w14:textId="77777777" w:rsidR="00200739" w:rsidRPr="0064231A" w:rsidRDefault="00200739" w:rsidP="00EB4F88">
      <w:pPr>
        <w:pStyle w:val="ListParagraph"/>
        <w:numPr>
          <w:ilvl w:val="0"/>
          <w:numId w:val="44"/>
        </w:numPr>
        <w:jc w:val="both"/>
        <w:rPr>
          <w:rFonts w:cs="Arial"/>
        </w:rPr>
      </w:pPr>
      <w:r w:rsidRPr="0064231A">
        <w:rPr>
          <w:rFonts w:cs="Arial"/>
        </w:rPr>
        <w:t>B</w:t>
      </w:r>
      <w:r>
        <w:rPr>
          <w:rFonts w:cs="Arial"/>
        </w:rPr>
        <w:t>y</w:t>
      </w:r>
      <w:r w:rsidRPr="0064231A">
        <w:rPr>
          <w:rFonts w:cs="Arial"/>
        </w:rPr>
        <w:t>-mail</w:t>
      </w:r>
    </w:p>
    <w:p w14:paraId="0A52CFCD" w14:textId="77777777" w:rsidR="00200739" w:rsidRPr="0064231A" w:rsidRDefault="00200739" w:rsidP="00EB4F88">
      <w:pPr>
        <w:pStyle w:val="Heading3"/>
        <w:numPr>
          <w:ilvl w:val="0"/>
          <w:numId w:val="0"/>
        </w:numPr>
        <w:contextualSpacing/>
        <w:jc w:val="both"/>
        <w:rPr>
          <w:rStyle w:val="notranslate"/>
          <w:rFonts w:cs="Arial"/>
          <w:bCs/>
          <w:color w:val="000000"/>
          <w:sz w:val="20"/>
        </w:rPr>
      </w:pPr>
      <w:r w:rsidRPr="0064231A">
        <w:rPr>
          <w:rStyle w:val="notranslate"/>
          <w:rFonts w:cs="Arial"/>
          <w:bCs/>
          <w:color w:val="000000"/>
          <w:sz w:val="20"/>
        </w:rPr>
        <w:t xml:space="preserve">After accepting complaints and appeals, the acceptance window should be processed </w:t>
      </w:r>
      <w:r>
        <w:rPr>
          <w:rStyle w:val="notranslate"/>
          <w:rFonts w:cs="Arial"/>
          <w:bCs/>
          <w:color w:val="000000"/>
          <w:sz w:val="20"/>
        </w:rPr>
        <w:t xml:space="preserve">in </w:t>
      </w:r>
      <w:r w:rsidRPr="0064231A">
        <w:rPr>
          <w:rStyle w:val="notranslate"/>
          <w:rFonts w:cs="Arial"/>
          <w:bCs/>
          <w:color w:val="000000"/>
          <w:sz w:val="20"/>
        </w:rPr>
        <w:t>accord</w:t>
      </w:r>
      <w:r>
        <w:rPr>
          <w:rStyle w:val="notranslate"/>
          <w:rFonts w:cs="Arial"/>
          <w:bCs/>
          <w:color w:val="000000"/>
          <w:sz w:val="20"/>
        </w:rPr>
        <w:t xml:space="preserve">ance with </w:t>
      </w:r>
      <w:r w:rsidRPr="0064231A">
        <w:rPr>
          <w:rStyle w:val="notranslate"/>
          <w:rFonts w:cs="Arial"/>
          <w:bCs/>
          <w:color w:val="000000"/>
          <w:sz w:val="20"/>
        </w:rPr>
        <w:t>the procedures</w:t>
      </w:r>
      <w:r>
        <w:rPr>
          <w:rStyle w:val="notranslate"/>
          <w:rFonts w:cs="Arial"/>
          <w:bCs/>
          <w:color w:val="000000"/>
          <w:sz w:val="20"/>
        </w:rPr>
        <w:t>.</w:t>
      </w:r>
      <w:r w:rsidRPr="0064231A">
        <w:rPr>
          <w:rStyle w:val="notranslate"/>
          <w:rFonts w:cs="Arial"/>
          <w:bCs/>
          <w:color w:val="000000"/>
          <w:sz w:val="20"/>
        </w:rPr>
        <w:t> </w:t>
      </w:r>
      <w:r>
        <w:rPr>
          <w:rStyle w:val="notranslate"/>
          <w:rFonts w:cs="Arial"/>
          <w:bCs/>
          <w:color w:val="000000"/>
          <w:sz w:val="20"/>
        </w:rPr>
        <w:t>T</w:t>
      </w:r>
      <w:r w:rsidRPr="0064231A">
        <w:rPr>
          <w:rStyle w:val="notranslate"/>
          <w:rFonts w:cs="Arial"/>
          <w:bCs/>
          <w:color w:val="000000"/>
          <w:sz w:val="20"/>
        </w:rPr>
        <w:t xml:space="preserve">he relevant contact information of the applicant for subsequent processing and replying </w:t>
      </w:r>
      <w:r>
        <w:rPr>
          <w:rStyle w:val="notranslate"/>
          <w:rFonts w:cs="Arial"/>
          <w:bCs/>
          <w:color w:val="000000"/>
          <w:sz w:val="20"/>
        </w:rPr>
        <w:t>actions has to be recorded and verified.</w:t>
      </w:r>
    </w:p>
    <w:p w14:paraId="25FA943C" w14:textId="77777777" w:rsidR="00200739" w:rsidRPr="009D7C4E" w:rsidRDefault="00200739" w:rsidP="00EB4F88">
      <w:pPr>
        <w:pStyle w:val="Heading2"/>
        <w:jc w:val="both"/>
        <w:rPr>
          <w:rFonts w:cs="Arial"/>
          <w:szCs w:val="22"/>
        </w:rPr>
      </w:pPr>
      <w:bookmarkStart w:id="18" w:name="_Toc69980530"/>
      <w:bookmarkStart w:id="19" w:name="_Toc118288311"/>
      <w:r w:rsidRPr="009D7C4E">
        <w:rPr>
          <w:rFonts w:cs="Arial"/>
          <w:szCs w:val="22"/>
        </w:rPr>
        <w:t>Verify and acceptance request</w:t>
      </w:r>
      <w:bookmarkEnd w:id="18"/>
      <w:bookmarkEnd w:id="19"/>
    </w:p>
    <w:p w14:paraId="19159472" w14:textId="77777777" w:rsidR="00200739" w:rsidRPr="0064231A" w:rsidRDefault="00200739" w:rsidP="00EB4F88">
      <w:pPr>
        <w:jc w:val="both"/>
        <w:rPr>
          <w:rStyle w:val="notranslate"/>
          <w:rFonts w:cs="Arial"/>
          <w:bCs/>
          <w:color w:val="000000"/>
        </w:rPr>
      </w:pPr>
      <w:r w:rsidRPr="0064231A">
        <w:rPr>
          <w:rStyle w:val="notranslate"/>
          <w:rFonts w:cs="Arial"/>
          <w:bCs/>
          <w:color w:val="000000"/>
        </w:rPr>
        <w:t xml:space="preserve">After accepting the applicant's complaint and appeal application, it shall be submitted to the responsible supervisor for review and approval in accordance with the procedures of the company, </w:t>
      </w:r>
      <w:r>
        <w:rPr>
          <w:rStyle w:val="notranslate"/>
          <w:rFonts w:cs="Arial"/>
          <w:bCs/>
          <w:color w:val="000000"/>
        </w:rPr>
        <w:t>t</w:t>
      </w:r>
      <w:r w:rsidRPr="0064231A">
        <w:rPr>
          <w:rStyle w:val="notranslate"/>
          <w:rFonts w:cs="Arial"/>
          <w:bCs/>
          <w:color w:val="000000"/>
        </w:rPr>
        <w:t>he </w:t>
      </w:r>
      <w:r>
        <w:rPr>
          <w:rStyle w:val="notranslate"/>
          <w:rFonts w:cs="Arial"/>
          <w:bCs/>
          <w:color w:val="000000"/>
        </w:rPr>
        <w:t>I</w:t>
      </w:r>
      <w:r w:rsidRPr="0064231A">
        <w:rPr>
          <w:rStyle w:val="notranslate"/>
          <w:rFonts w:cs="Arial"/>
          <w:bCs/>
          <w:color w:val="000000"/>
        </w:rPr>
        <w:t xml:space="preserve">ncident </w:t>
      </w:r>
      <w:r>
        <w:rPr>
          <w:rStyle w:val="notranslate"/>
          <w:rFonts w:cs="Arial"/>
          <w:bCs/>
          <w:color w:val="000000"/>
        </w:rPr>
        <w:t>Execution G</w:t>
      </w:r>
      <w:r w:rsidRPr="0064231A">
        <w:rPr>
          <w:rStyle w:val="notranslate"/>
          <w:rFonts w:cs="Arial"/>
          <w:bCs/>
          <w:color w:val="000000"/>
        </w:rPr>
        <w:t xml:space="preserve">roup </w:t>
      </w:r>
      <w:r>
        <w:rPr>
          <w:rStyle w:val="notranslate"/>
          <w:rFonts w:cs="Arial"/>
          <w:bCs/>
          <w:color w:val="000000"/>
        </w:rPr>
        <w:t xml:space="preserve">will take over the responsibility for further actions </w:t>
      </w:r>
      <w:r w:rsidRPr="0064231A">
        <w:rPr>
          <w:rStyle w:val="notranslate"/>
          <w:rFonts w:cs="Arial"/>
          <w:bCs/>
          <w:color w:val="000000"/>
        </w:rPr>
        <w:t xml:space="preserve">and </w:t>
      </w:r>
      <w:r>
        <w:rPr>
          <w:rStyle w:val="notranslate"/>
          <w:rFonts w:cs="Arial"/>
          <w:bCs/>
          <w:color w:val="000000"/>
        </w:rPr>
        <w:t>the GDPO</w:t>
      </w:r>
      <w:r w:rsidRPr="0064231A">
        <w:rPr>
          <w:rStyle w:val="notranslate"/>
          <w:rFonts w:cs="Arial"/>
          <w:bCs/>
          <w:color w:val="000000"/>
        </w:rPr>
        <w:t xml:space="preserve"> shall be informed</w:t>
      </w:r>
      <w:r>
        <w:rPr>
          <w:rStyle w:val="notranslate"/>
          <w:rFonts w:cs="Arial"/>
          <w:bCs/>
          <w:color w:val="000000"/>
        </w:rPr>
        <w:t xml:space="preserve"> without any delay.</w:t>
      </w:r>
    </w:p>
    <w:p w14:paraId="6BEC9A4D" w14:textId="77777777" w:rsidR="00200739" w:rsidRPr="00E23E8E" w:rsidRDefault="00200739" w:rsidP="00EB4F88">
      <w:pPr>
        <w:jc w:val="both"/>
        <w:rPr>
          <w:rFonts w:cs="Arial"/>
          <w:bCs/>
        </w:rPr>
      </w:pPr>
      <w:r w:rsidRPr="0064231A">
        <w:rPr>
          <w:rFonts w:cs="Arial"/>
        </w:rPr>
        <w:t xml:space="preserve">If the content of the appeal relates to exercise rights of the data subject, it shall be </w:t>
      </w:r>
      <w:r>
        <w:rPr>
          <w:rFonts w:cs="Arial"/>
        </w:rPr>
        <w:t>processed</w:t>
      </w:r>
      <w:r w:rsidRPr="0064231A">
        <w:rPr>
          <w:rFonts w:cs="Arial"/>
        </w:rPr>
        <w:t xml:space="preserve"> in </w:t>
      </w:r>
      <w:r>
        <w:rPr>
          <w:rFonts w:cs="Arial"/>
        </w:rPr>
        <w:t>in the same way (same process) as an appeal or complaint.</w:t>
      </w:r>
    </w:p>
    <w:p w14:paraId="6EE86159" w14:textId="6405F2EB" w:rsidR="00200739" w:rsidRDefault="00200739" w:rsidP="00EB4F88">
      <w:pPr>
        <w:jc w:val="both"/>
        <w:rPr>
          <w:rFonts w:cs="Arial"/>
          <w:bCs/>
        </w:rPr>
      </w:pPr>
      <w:r w:rsidRPr="0064231A">
        <w:rPr>
          <w:rFonts w:cs="Arial"/>
        </w:rPr>
        <w:t xml:space="preserve">If the content of the appeal relates to a personal data leak or abuses, </w:t>
      </w:r>
      <w:r>
        <w:rPr>
          <w:rFonts w:cs="Arial"/>
        </w:rPr>
        <w:t>it shall be processed</w:t>
      </w:r>
      <w:r w:rsidR="00AC64A4">
        <w:rPr>
          <w:rFonts w:cs="Arial"/>
        </w:rPr>
        <w:t xml:space="preserve"> in </w:t>
      </w:r>
      <w:r w:rsidRPr="0064231A">
        <w:rPr>
          <w:rFonts w:cs="Arial"/>
        </w:rPr>
        <w:t xml:space="preserve">accordance with the provisions of </w:t>
      </w:r>
      <w:r w:rsidRPr="00E23E8E">
        <w:rPr>
          <w:rFonts w:cs="Arial"/>
          <w:bCs/>
        </w:rPr>
        <w:t xml:space="preserve">Personal Data Incident Management </w:t>
      </w:r>
      <w:r w:rsidRPr="00E114ED">
        <w:rPr>
          <w:rFonts w:cs="Arial"/>
          <w:bCs/>
        </w:rPr>
        <w:t>Process (</w:t>
      </w:r>
      <w:proofErr w:type="spellStart"/>
      <w:r w:rsidR="00A11C49" w:rsidRPr="00E114ED">
        <w:rPr>
          <w:rFonts w:cs="Arial"/>
          <w:bCs/>
        </w:rPr>
        <w:t>Guideline_Da</w:t>
      </w:r>
      <w:r w:rsidR="00E114ED" w:rsidRPr="00E114ED">
        <w:rPr>
          <w:rFonts w:cs="Arial"/>
          <w:bCs/>
        </w:rPr>
        <w:t>ta</w:t>
      </w:r>
      <w:proofErr w:type="spellEnd"/>
      <w:r w:rsidR="00E114ED" w:rsidRPr="00E114ED">
        <w:rPr>
          <w:rFonts w:cs="Arial"/>
          <w:bCs/>
        </w:rPr>
        <w:t xml:space="preserve"> Breach Incident Response_v3.3</w:t>
      </w:r>
      <w:r w:rsidR="00A11C49" w:rsidRPr="00E114ED">
        <w:rPr>
          <w:rFonts w:cs="Arial"/>
          <w:bCs/>
        </w:rPr>
        <w:t xml:space="preserve">, </w:t>
      </w:r>
      <w:proofErr w:type="spellStart"/>
      <w:r w:rsidR="00A11C49" w:rsidRPr="00E114ED">
        <w:rPr>
          <w:rFonts w:cs="Arial"/>
          <w:bCs/>
        </w:rPr>
        <w:t>Procedure_Personal</w:t>
      </w:r>
      <w:proofErr w:type="spellEnd"/>
      <w:r w:rsidR="00A11C49" w:rsidRPr="00E114ED">
        <w:rPr>
          <w:rFonts w:cs="Arial"/>
          <w:bCs/>
        </w:rPr>
        <w:t xml:space="preserve"> Data Breach Notification_V1.</w:t>
      </w:r>
      <w:r w:rsidR="00E114ED" w:rsidRPr="00E114ED">
        <w:rPr>
          <w:rFonts w:cs="Arial"/>
          <w:bCs/>
        </w:rPr>
        <w:t>2</w:t>
      </w:r>
      <w:r w:rsidRPr="00E114ED">
        <w:rPr>
          <w:rFonts w:cs="Arial"/>
          <w:bCs/>
        </w:rPr>
        <w:t>).</w:t>
      </w:r>
    </w:p>
    <w:p w14:paraId="63EB8A64" w14:textId="77777777" w:rsidR="00200739" w:rsidRPr="009D7C4E" w:rsidRDefault="00200739" w:rsidP="00200739">
      <w:pPr>
        <w:pStyle w:val="Heading2"/>
        <w:numPr>
          <w:ilvl w:val="0"/>
          <w:numId w:val="0"/>
        </w:numPr>
        <w:ind w:left="576" w:hanging="576"/>
        <w:rPr>
          <w:rFonts w:cs="Arial"/>
          <w:bCs/>
          <w:szCs w:val="22"/>
        </w:rPr>
      </w:pPr>
      <w:bookmarkStart w:id="20" w:name="_Toc69980531"/>
      <w:bookmarkStart w:id="21" w:name="_Toc118288312"/>
      <w:r w:rsidRPr="009D7C4E">
        <w:rPr>
          <w:rFonts w:cs="Arial"/>
          <w:bCs/>
          <w:szCs w:val="22"/>
        </w:rPr>
        <w:lastRenderedPageBreak/>
        <w:t>2.3</w:t>
      </w:r>
      <w:r w:rsidRPr="009D7C4E">
        <w:rPr>
          <w:rFonts w:cs="Arial"/>
          <w:bCs/>
          <w:szCs w:val="22"/>
        </w:rPr>
        <w:tab/>
        <w:t>Types of Complaints and Appeals</w:t>
      </w:r>
      <w:bookmarkEnd w:id="20"/>
      <w:bookmarkEnd w:id="21"/>
    </w:p>
    <w:p w14:paraId="5E29104B" w14:textId="77777777" w:rsidR="00200739" w:rsidRPr="0025009B" w:rsidRDefault="00200739" w:rsidP="00200739">
      <w:pPr>
        <w:rPr>
          <w:rFonts w:cs="Arial"/>
          <w:b/>
        </w:rPr>
      </w:pPr>
      <w:r w:rsidRPr="0025009B">
        <w:rPr>
          <w:rFonts w:cs="Arial"/>
          <w:b/>
        </w:rPr>
        <w:t>Informal Complaint</w:t>
      </w:r>
    </w:p>
    <w:p w14:paraId="6862F1A6" w14:textId="77777777" w:rsidR="00200739" w:rsidRPr="00DC433A" w:rsidRDefault="00200739" w:rsidP="00EB4F88">
      <w:pPr>
        <w:jc w:val="both"/>
        <w:rPr>
          <w:rFonts w:cs="Arial"/>
          <w:bCs/>
        </w:rPr>
      </w:pPr>
      <w:r w:rsidRPr="00DC433A">
        <w:rPr>
          <w:rFonts w:cs="Arial"/>
          <w:bCs/>
        </w:rPr>
        <w:t>The Complainant makes a verbal complaint to a</w:t>
      </w:r>
      <w:r>
        <w:rPr>
          <w:rFonts w:cs="Arial"/>
          <w:bCs/>
        </w:rPr>
        <w:t>n</w:t>
      </w:r>
      <w:r w:rsidRPr="00DC433A">
        <w:rPr>
          <w:rFonts w:cs="Arial"/>
          <w:bCs/>
        </w:rPr>
        <w:t xml:space="preserve"> F</w:t>
      </w:r>
      <w:r>
        <w:rPr>
          <w:rFonts w:cs="Arial"/>
          <w:bCs/>
        </w:rPr>
        <w:t>PT Software</w:t>
      </w:r>
      <w:r w:rsidRPr="00DC433A">
        <w:rPr>
          <w:rFonts w:cs="Arial"/>
          <w:bCs/>
        </w:rPr>
        <w:t xml:space="preserve"> employee or Representative who then logs and reports it immediately to the </w:t>
      </w:r>
      <w:r>
        <w:rPr>
          <w:rFonts w:cs="Arial"/>
          <w:bCs/>
        </w:rPr>
        <w:t>line manager and the GDPO.</w:t>
      </w:r>
      <w:r w:rsidRPr="00DC433A">
        <w:rPr>
          <w:rFonts w:cs="Arial"/>
          <w:bCs/>
        </w:rPr>
        <w:t xml:space="preserve"> </w:t>
      </w:r>
      <w:r>
        <w:rPr>
          <w:rFonts w:cs="Arial"/>
          <w:bCs/>
        </w:rPr>
        <w:t xml:space="preserve"> GDPO </w:t>
      </w:r>
      <w:r w:rsidRPr="00DC433A">
        <w:rPr>
          <w:rFonts w:cs="Arial"/>
          <w:bCs/>
        </w:rPr>
        <w:t xml:space="preserve">decides whether it is a </w:t>
      </w:r>
      <w:r>
        <w:rPr>
          <w:rFonts w:cs="Arial"/>
          <w:bCs/>
        </w:rPr>
        <w:t>level</w:t>
      </w:r>
      <w:r w:rsidRPr="00DC433A">
        <w:rPr>
          <w:rFonts w:cs="Arial"/>
          <w:bCs/>
        </w:rPr>
        <w:t xml:space="preserve"> 1 or </w:t>
      </w:r>
      <w:r>
        <w:rPr>
          <w:rFonts w:cs="Arial"/>
          <w:bCs/>
        </w:rPr>
        <w:t>level</w:t>
      </w:r>
      <w:r w:rsidRPr="00DC433A">
        <w:rPr>
          <w:rFonts w:cs="Arial"/>
          <w:bCs/>
        </w:rPr>
        <w:t xml:space="preserve"> 2 process that is best required in all the circumstances.</w:t>
      </w:r>
    </w:p>
    <w:p w14:paraId="36DD566E" w14:textId="77777777" w:rsidR="00200739" w:rsidRPr="00DC433A" w:rsidRDefault="00200739" w:rsidP="00EB4F88">
      <w:pPr>
        <w:jc w:val="both"/>
        <w:rPr>
          <w:rFonts w:cs="Arial"/>
          <w:bCs/>
        </w:rPr>
      </w:pPr>
      <w:r w:rsidRPr="00DC433A">
        <w:rPr>
          <w:rFonts w:cs="Arial"/>
          <w:bCs/>
        </w:rPr>
        <w:t xml:space="preserve">The </w:t>
      </w:r>
      <w:r>
        <w:rPr>
          <w:rFonts w:cs="Arial"/>
          <w:bCs/>
        </w:rPr>
        <w:t>Incident Execution Group</w:t>
      </w:r>
      <w:r w:rsidRPr="00DC433A">
        <w:rPr>
          <w:rFonts w:cs="Arial"/>
          <w:bCs/>
        </w:rPr>
        <w:t xml:space="preserve"> </w:t>
      </w:r>
      <w:r>
        <w:rPr>
          <w:rFonts w:cs="Arial"/>
          <w:bCs/>
        </w:rPr>
        <w:t>check</w:t>
      </w:r>
      <w:r w:rsidRPr="00DC433A">
        <w:rPr>
          <w:rFonts w:cs="Arial"/>
          <w:bCs/>
        </w:rPr>
        <w:t xml:space="preserve"> the complaint, undertakes any required investigation into the circumstances of the allegation, agrees resolution with the Complainant and implements solution.</w:t>
      </w:r>
    </w:p>
    <w:p w14:paraId="64498DBB" w14:textId="77777777" w:rsidR="00200739" w:rsidRPr="00DC433A" w:rsidRDefault="00200739" w:rsidP="00EB4F88">
      <w:pPr>
        <w:jc w:val="both"/>
        <w:rPr>
          <w:rFonts w:cs="Arial"/>
          <w:bCs/>
        </w:rPr>
      </w:pPr>
      <w:r w:rsidRPr="00DC433A">
        <w:rPr>
          <w:rFonts w:cs="Arial"/>
          <w:bCs/>
        </w:rPr>
        <w:t>The Complainant confirms in writing that they are satisfied with the resolution.</w:t>
      </w:r>
    </w:p>
    <w:p w14:paraId="74CF1B9E" w14:textId="77777777" w:rsidR="00200739" w:rsidRDefault="00200739" w:rsidP="00EB4F88">
      <w:pPr>
        <w:jc w:val="both"/>
        <w:rPr>
          <w:rFonts w:cs="Arial"/>
          <w:bCs/>
        </w:rPr>
      </w:pPr>
      <w:r w:rsidRPr="00DC433A">
        <w:rPr>
          <w:rFonts w:cs="Arial"/>
          <w:bCs/>
        </w:rPr>
        <w:t xml:space="preserve">Timeframe: Immediate to within </w:t>
      </w:r>
      <w:r>
        <w:rPr>
          <w:rFonts w:cs="Arial"/>
          <w:bCs/>
        </w:rPr>
        <w:t>14</w:t>
      </w:r>
      <w:r w:rsidRPr="00DC433A">
        <w:rPr>
          <w:rFonts w:cs="Arial"/>
          <w:bCs/>
        </w:rPr>
        <w:t xml:space="preserve"> working days.</w:t>
      </w:r>
    </w:p>
    <w:p w14:paraId="486370B0" w14:textId="77777777" w:rsidR="00200739" w:rsidRPr="0025009B" w:rsidRDefault="00200739" w:rsidP="00EB4F88">
      <w:pPr>
        <w:jc w:val="both"/>
        <w:rPr>
          <w:rFonts w:cs="Arial"/>
          <w:b/>
        </w:rPr>
      </w:pPr>
      <w:r w:rsidRPr="0025009B">
        <w:rPr>
          <w:rFonts w:cs="Arial"/>
          <w:b/>
        </w:rPr>
        <w:t>Formal Compliant</w:t>
      </w:r>
    </w:p>
    <w:p w14:paraId="29E6E62E" w14:textId="3BD1EBE3" w:rsidR="00200739" w:rsidRDefault="00200739" w:rsidP="00EB4F88">
      <w:pPr>
        <w:jc w:val="both"/>
        <w:rPr>
          <w:rFonts w:cs="Arial"/>
          <w:bCs/>
        </w:rPr>
      </w:pPr>
      <w:r>
        <w:rPr>
          <w:rFonts w:cs="Arial"/>
          <w:bCs/>
        </w:rPr>
        <w:t>T</w:t>
      </w:r>
      <w:r w:rsidRPr="00FD7522">
        <w:rPr>
          <w:rFonts w:cs="Arial"/>
          <w:bCs/>
        </w:rPr>
        <w:t>he complaint is received either verbally, in writing by email, phone, website or by personal submission.</w:t>
      </w:r>
      <w:r>
        <w:rPr>
          <w:rFonts w:cs="Arial"/>
          <w:bCs/>
        </w:rPr>
        <w:t xml:space="preserve"> </w:t>
      </w:r>
      <w:r w:rsidRPr="00FD7522">
        <w:rPr>
          <w:rFonts w:cs="Arial"/>
          <w:bCs/>
        </w:rPr>
        <w:t>The complaint is logged and reported to the DPO to deal with and action.</w:t>
      </w:r>
      <w:r>
        <w:rPr>
          <w:rFonts w:cs="Arial"/>
          <w:bCs/>
        </w:rPr>
        <w:t xml:space="preserve"> GDPO </w:t>
      </w:r>
      <w:r w:rsidRPr="00DC433A">
        <w:rPr>
          <w:rFonts w:cs="Arial"/>
          <w:bCs/>
        </w:rPr>
        <w:t xml:space="preserve">decides </w:t>
      </w:r>
      <w:r>
        <w:rPr>
          <w:rFonts w:cs="Arial"/>
          <w:bCs/>
        </w:rPr>
        <w:t>the level</w:t>
      </w:r>
      <w:r w:rsidRPr="00DC433A">
        <w:rPr>
          <w:rFonts w:cs="Arial"/>
          <w:bCs/>
        </w:rPr>
        <w:t xml:space="preserve"> </w:t>
      </w:r>
      <w:r>
        <w:rPr>
          <w:rFonts w:cs="Arial"/>
          <w:bCs/>
        </w:rPr>
        <w:t xml:space="preserve">of </w:t>
      </w:r>
      <w:r w:rsidRPr="00DC433A">
        <w:rPr>
          <w:rFonts w:cs="Arial"/>
          <w:bCs/>
        </w:rPr>
        <w:t>process that is best required in all the circumstances.</w:t>
      </w:r>
      <w:r>
        <w:rPr>
          <w:rFonts w:cs="Arial"/>
          <w:bCs/>
        </w:rPr>
        <w:t xml:space="preserve"> The </w:t>
      </w:r>
      <w:r w:rsidRPr="00FD7522">
        <w:rPr>
          <w:rFonts w:cs="Arial"/>
          <w:bCs/>
        </w:rPr>
        <w:t xml:space="preserve">Receipt of the complaint is acknowledged within one working day. </w:t>
      </w:r>
    </w:p>
    <w:p w14:paraId="1A194F2D" w14:textId="77777777" w:rsidR="00200739" w:rsidRPr="00FD7522" w:rsidRDefault="00200739" w:rsidP="00EB4F88">
      <w:pPr>
        <w:jc w:val="both"/>
        <w:rPr>
          <w:rFonts w:cs="Arial"/>
          <w:bCs/>
        </w:rPr>
      </w:pPr>
      <w:r w:rsidRPr="00FD7522">
        <w:rPr>
          <w:rFonts w:cs="Arial"/>
          <w:bCs/>
        </w:rPr>
        <w:t>The Complainant will receive a response from</w:t>
      </w:r>
      <w:r>
        <w:rPr>
          <w:rFonts w:cs="Arial"/>
          <w:bCs/>
        </w:rPr>
        <w:t xml:space="preserve"> </w:t>
      </w:r>
      <w:r w:rsidRPr="00FD7522">
        <w:rPr>
          <w:rFonts w:cs="Arial"/>
          <w:bCs/>
        </w:rPr>
        <w:t xml:space="preserve">the </w:t>
      </w:r>
      <w:r>
        <w:rPr>
          <w:rFonts w:cs="Arial"/>
          <w:bCs/>
        </w:rPr>
        <w:t>G</w:t>
      </w:r>
      <w:r w:rsidRPr="00FD7522">
        <w:rPr>
          <w:rFonts w:cs="Arial"/>
          <w:bCs/>
        </w:rPr>
        <w:t>DPO within 1</w:t>
      </w:r>
      <w:r>
        <w:rPr>
          <w:rFonts w:cs="Arial"/>
          <w:bCs/>
        </w:rPr>
        <w:t>4</w:t>
      </w:r>
      <w:r w:rsidRPr="00FD7522">
        <w:rPr>
          <w:rFonts w:cs="Arial"/>
          <w:bCs/>
        </w:rPr>
        <w:t xml:space="preserve"> working days.</w:t>
      </w:r>
    </w:p>
    <w:p w14:paraId="57FF2A5E" w14:textId="77777777" w:rsidR="00200739" w:rsidRPr="00DC433A" w:rsidRDefault="00200739" w:rsidP="00EB4F88">
      <w:pPr>
        <w:jc w:val="both"/>
        <w:rPr>
          <w:rFonts w:cs="Arial"/>
          <w:bCs/>
        </w:rPr>
      </w:pPr>
      <w:r w:rsidRPr="00DC433A">
        <w:rPr>
          <w:rFonts w:cs="Arial"/>
          <w:bCs/>
        </w:rPr>
        <w:t xml:space="preserve">The </w:t>
      </w:r>
      <w:r>
        <w:rPr>
          <w:rFonts w:cs="Arial"/>
          <w:bCs/>
        </w:rPr>
        <w:t>Incident Execution Group</w:t>
      </w:r>
      <w:r w:rsidRPr="00DC433A">
        <w:rPr>
          <w:rFonts w:cs="Arial"/>
          <w:bCs/>
        </w:rPr>
        <w:t xml:space="preserve"> </w:t>
      </w:r>
      <w:r>
        <w:rPr>
          <w:rFonts w:cs="Arial"/>
          <w:bCs/>
        </w:rPr>
        <w:t>check</w:t>
      </w:r>
      <w:r w:rsidRPr="00DC433A">
        <w:rPr>
          <w:rFonts w:cs="Arial"/>
          <w:bCs/>
        </w:rPr>
        <w:t xml:space="preserve"> the complaint, undertakes any required investigation into the circumstances of the allegation, agrees resolution with the Complainant and implements solution.</w:t>
      </w:r>
    </w:p>
    <w:p w14:paraId="73093AC0" w14:textId="77777777" w:rsidR="00200739" w:rsidRPr="00DC433A" w:rsidRDefault="00200739" w:rsidP="00EB4F88">
      <w:pPr>
        <w:jc w:val="both"/>
        <w:rPr>
          <w:rFonts w:cs="Arial"/>
          <w:bCs/>
        </w:rPr>
      </w:pPr>
      <w:r w:rsidRPr="00DC433A">
        <w:rPr>
          <w:rFonts w:cs="Arial"/>
          <w:bCs/>
        </w:rPr>
        <w:t>The Complainant confirms in writing that they are satisfied with the resolution.</w:t>
      </w:r>
    </w:p>
    <w:p w14:paraId="441FD973" w14:textId="77777777" w:rsidR="00200739" w:rsidRPr="00FD7522" w:rsidRDefault="00200739" w:rsidP="00EB4F88">
      <w:pPr>
        <w:jc w:val="both"/>
        <w:rPr>
          <w:rFonts w:cs="Arial"/>
          <w:bCs/>
        </w:rPr>
      </w:pPr>
      <w:r w:rsidRPr="00FD7522">
        <w:rPr>
          <w:rFonts w:cs="Arial"/>
          <w:bCs/>
        </w:rPr>
        <w:t xml:space="preserve">If applicable, the results of the investigation into the matter shall be shared with the </w:t>
      </w:r>
      <w:r>
        <w:rPr>
          <w:rFonts w:cs="Arial"/>
          <w:bCs/>
        </w:rPr>
        <w:t>Supervisory Authorities</w:t>
      </w:r>
      <w:r w:rsidRPr="00FD7522">
        <w:rPr>
          <w:rFonts w:cs="Arial"/>
          <w:bCs/>
        </w:rPr>
        <w:t xml:space="preserve"> and F</w:t>
      </w:r>
      <w:r>
        <w:rPr>
          <w:rFonts w:cs="Arial"/>
          <w:bCs/>
        </w:rPr>
        <w:t>PT Software</w:t>
      </w:r>
      <w:r w:rsidRPr="00FD7522">
        <w:rPr>
          <w:rFonts w:cs="Arial"/>
          <w:bCs/>
        </w:rPr>
        <w:t xml:space="preserve"> shall liaise with the </w:t>
      </w:r>
      <w:r>
        <w:rPr>
          <w:rFonts w:cs="Arial"/>
          <w:bCs/>
        </w:rPr>
        <w:t>Supervisory Authorities</w:t>
      </w:r>
      <w:r w:rsidRPr="00FD7522">
        <w:rPr>
          <w:rFonts w:cs="Arial"/>
          <w:bCs/>
        </w:rPr>
        <w:t xml:space="preserve"> if and as required.</w:t>
      </w:r>
    </w:p>
    <w:p w14:paraId="14E5FACE" w14:textId="77777777" w:rsidR="00200739" w:rsidRDefault="00200739" w:rsidP="00EB4F88">
      <w:pPr>
        <w:jc w:val="both"/>
        <w:rPr>
          <w:rFonts w:cs="Arial"/>
          <w:bCs/>
        </w:rPr>
      </w:pPr>
      <w:r w:rsidRPr="00FD7522">
        <w:rPr>
          <w:rFonts w:cs="Arial"/>
          <w:bCs/>
        </w:rPr>
        <w:t>Timeframe:</w:t>
      </w:r>
      <w:r>
        <w:rPr>
          <w:rFonts w:cs="Arial"/>
          <w:bCs/>
        </w:rPr>
        <w:t xml:space="preserve"> </w:t>
      </w:r>
      <w:r w:rsidRPr="00FD7522">
        <w:rPr>
          <w:rFonts w:cs="Arial"/>
          <w:bCs/>
        </w:rPr>
        <w:t>Between one working day and, at the latest, 21 working days after submission of complaint.</w:t>
      </w:r>
    </w:p>
    <w:p w14:paraId="55D36523" w14:textId="77777777" w:rsidR="00200739" w:rsidRPr="0025009B" w:rsidRDefault="00200739" w:rsidP="00EB4F88">
      <w:pPr>
        <w:jc w:val="both"/>
        <w:rPr>
          <w:rFonts w:cs="Arial"/>
          <w:b/>
        </w:rPr>
      </w:pPr>
      <w:r w:rsidRPr="0025009B">
        <w:rPr>
          <w:rFonts w:cs="Arial"/>
          <w:b/>
        </w:rPr>
        <w:t>Anonymous Complaints</w:t>
      </w:r>
    </w:p>
    <w:p w14:paraId="29DBC150" w14:textId="3931A414" w:rsidR="00E75677" w:rsidRDefault="00200739" w:rsidP="00EB4F88">
      <w:pPr>
        <w:jc w:val="both"/>
        <w:rPr>
          <w:rFonts w:cs="Arial"/>
          <w:bCs/>
        </w:rPr>
      </w:pPr>
      <w:r w:rsidRPr="00FD7522">
        <w:rPr>
          <w:rFonts w:cs="Arial"/>
          <w:bCs/>
        </w:rPr>
        <w:t>Complaints submitted anonymously will be considered if there is enough information in the complaint to enable F</w:t>
      </w:r>
      <w:r>
        <w:rPr>
          <w:rFonts w:cs="Arial"/>
          <w:bCs/>
        </w:rPr>
        <w:t xml:space="preserve">PT Software </w:t>
      </w:r>
      <w:r w:rsidRPr="00FD7522">
        <w:rPr>
          <w:rFonts w:cs="Arial"/>
          <w:bCs/>
        </w:rPr>
        <w:t>to make further enquiries. If, however, an anonymous complaint does not provide enough information to enable F</w:t>
      </w:r>
      <w:r>
        <w:rPr>
          <w:rFonts w:cs="Arial"/>
          <w:bCs/>
        </w:rPr>
        <w:t>PT Software</w:t>
      </w:r>
      <w:r w:rsidRPr="00FD7522">
        <w:rPr>
          <w:rFonts w:cs="Arial"/>
          <w:bCs/>
        </w:rPr>
        <w:t xml:space="preserve"> to take further action it may decide not to pursue it further. However, F</w:t>
      </w:r>
      <w:r>
        <w:rPr>
          <w:rFonts w:cs="Arial"/>
          <w:bCs/>
        </w:rPr>
        <w:t>PT Software</w:t>
      </w:r>
      <w:r w:rsidRPr="00FD7522">
        <w:rPr>
          <w:rFonts w:cs="Arial"/>
          <w:bCs/>
        </w:rPr>
        <w:t xml:space="preserve"> may give consideration to the issues raised, and will record the complaint so that corrective action can be taken as appropriate.</w:t>
      </w:r>
      <w:r>
        <w:rPr>
          <w:rFonts w:cs="Arial"/>
          <w:bCs/>
        </w:rPr>
        <w:t xml:space="preserve"> </w:t>
      </w:r>
      <w:r w:rsidRPr="00FD7522">
        <w:rPr>
          <w:rFonts w:cs="Arial"/>
          <w:bCs/>
        </w:rPr>
        <w:t xml:space="preserve">Any decision not to pursue an anonymous complaint must be authorized by the </w:t>
      </w:r>
      <w:r>
        <w:rPr>
          <w:rFonts w:cs="Arial"/>
          <w:bCs/>
        </w:rPr>
        <w:t>G</w:t>
      </w:r>
      <w:r w:rsidRPr="00FD7522">
        <w:rPr>
          <w:rFonts w:cs="Arial"/>
          <w:bCs/>
        </w:rPr>
        <w:t>DPO who is responsible for dealing with Data Protection breaches.</w:t>
      </w:r>
    </w:p>
    <w:p w14:paraId="40706696" w14:textId="77777777" w:rsidR="00E75677" w:rsidRDefault="00E75677">
      <w:pPr>
        <w:spacing w:before="0" w:line="240" w:lineRule="auto"/>
        <w:rPr>
          <w:rFonts w:cs="Arial"/>
          <w:bCs/>
        </w:rPr>
      </w:pPr>
      <w:r>
        <w:rPr>
          <w:rFonts w:cs="Arial"/>
          <w:bCs/>
        </w:rPr>
        <w:br w:type="page"/>
      </w:r>
    </w:p>
    <w:p w14:paraId="2A8252E9" w14:textId="77777777" w:rsidR="00200739" w:rsidRPr="001A4B6D" w:rsidRDefault="00200739" w:rsidP="00200739">
      <w:pPr>
        <w:pStyle w:val="Heading2"/>
        <w:numPr>
          <w:ilvl w:val="0"/>
          <w:numId w:val="0"/>
        </w:numPr>
        <w:ind w:left="576" w:hanging="576"/>
        <w:rPr>
          <w:rFonts w:ascii="Times New Roman" w:eastAsia="Times New Roman" w:hAnsi="Times New Roman"/>
          <w:color w:val="000000" w:themeColor="text1"/>
          <w:szCs w:val="22"/>
        </w:rPr>
      </w:pPr>
      <w:bookmarkStart w:id="22" w:name="_Toc69980532"/>
      <w:bookmarkStart w:id="23" w:name="_Toc118288313"/>
      <w:r w:rsidRPr="001A4B6D">
        <w:rPr>
          <w:rFonts w:eastAsia="Times New Roman" w:cs="Arial"/>
          <w:color w:val="000000" w:themeColor="text1"/>
          <w:szCs w:val="22"/>
          <w:shd w:val="clear" w:color="auto" w:fill="FFFFFF"/>
        </w:rPr>
        <w:lastRenderedPageBreak/>
        <w:t>2.4</w:t>
      </w:r>
      <w:r w:rsidRPr="001A4B6D">
        <w:rPr>
          <w:rFonts w:eastAsia="Times New Roman" w:cs="Arial"/>
          <w:color w:val="000000" w:themeColor="text1"/>
          <w:szCs w:val="22"/>
          <w:shd w:val="clear" w:color="auto" w:fill="FFFFFF"/>
        </w:rPr>
        <w:tab/>
        <w:t xml:space="preserve">Complaints Procedure has </w:t>
      </w:r>
      <w:r>
        <w:rPr>
          <w:rFonts w:eastAsia="Times New Roman" w:cs="Arial"/>
          <w:color w:val="000000" w:themeColor="text1"/>
          <w:szCs w:val="22"/>
          <w:shd w:val="clear" w:color="auto" w:fill="FFFFFF"/>
        </w:rPr>
        <w:t>four</w:t>
      </w:r>
      <w:r w:rsidRPr="001A4B6D">
        <w:rPr>
          <w:rFonts w:eastAsia="Times New Roman" w:cs="Arial"/>
          <w:color w:val="000000" w:themeColor="text1"/>
          <w:szCs w:val="22"/>
          <w:shd w:val="clear" w:color="auto" w:fill="FFFFFF"/>
        </w:rPr>
        <w:t xml:space="preserve"> levels of handling and escalation</w:t>
      </w:r>
      <w:bookmarkEnd w:id="22"/>
      <w:bookmarkEnd w:id="23"/>
    </w:p>
    <w:p w14:paraId="64B37FA5" w14:textId="77777777" w:rsidR="00200739" w:rsidRDefault="00200739" w:rsidP="00200739">
      <w:pPr>
        <w:rPr>
          <w:rFonts w:cs="Arial"/>
          <w:bCs/>
        </w:rPr>
      </w:pPr>
      <w:r>
        <w:rPr>
          <w:rFonts w:cs="Arial"/>
          <w:bCs/>
        </w:rPr>
        <w:t>Level 1</w:t>
      </w:r>
    </w:p>
    <w:p w14:paraId="5534D653" w14:textId="77777777" w:rsidR="00200739" w:rsidRPr="00B83F05" w:rsidRDefault="00200739" w:rsidP="00AC64A4">
      <w:pPr>
        <w:jc w:val="both"/>
        <w:rPr>
          <w:rFonts w:cs="Arial"/>
          <w:bCs/>
        </w:rPr>
      </w:pPr>
      <w:r w:rsidRPr="00B83F05">
        <w:rPr>
          <w:rFonts w:cs="Arial"/>
          <w:bCs/>
        </w:rPr>
        <w:t xml:space="preserve">Informal Complaints – delegation by the </w:t>
      </w:r>
      <w:r>
        <w:rPr>
          <w:rFonts w:cs="Arial"/>
          <w:bCs/>
        </w:rPr>
        <w:t>Incident Execution Group</w:t>
      </w:r>
      <w:r w:rsidRPr="00B83F05">
        <w:rPr>
          <w:rFonts w:cs="Arial"/>
          <w:bCs/>
        </w:rPr>
        <w:t xml:space="preserve"> to a suitable person</w:t>
      </w:r>
      <w:r>
        <w:rPr>
          <w:rFonts w:cs="Arial"/>
          <w:bCs/>
        </w:rPr>
        <w:t xml:space="preserve"> or team</w:t>
      </w:r>
      <w:r w:rsidRPr="00B83F05">
        <w:rPr>
          <w:rFonts w:cs="Arial"/>
          <w:bCs/>
        </w:rPr>
        <w:t xml:space="preserve"> knowledgeable about the circumstances for their investigation, discussion and resolution with the Complainant.</w:t>
      </w:r>
    </w:p>
    <w:p w14:paraId="670F11E1" w14:textId="77777777" w:rsidR="00200739" w:rsidRDefault="00200739" w:rsidP="00200739">
      <w:pPr>
        <w:rPr>
          <w:rFonts w:cs="Arial"/>
          <w:bCs/>
        </w:rPr>
      </w:pPr>
      <w:r>
        <w:rPr>
          <w:rFonts w:cs="Arial"/>
          <w:bCs/>
        </w:rPr>
        <w:t>Level</w:t>
      </w:r>
      <w:r w:rsidRPr="00B83F05">
        <w:rPr>
          <w:rFonts w:cs="Arial"/>
          <w:bCs/>
        </w:rPr>
        <w:t xml:space="preserve"> 2</w:t>
      </w:r>
    </w:p>
    <w:p w14:paraId="482DDBE0" w14:textId="77777777" w:rsidR="00200739" w:rsidRPr="00B83F05" w:rsidRDefault="00200739" w:rsidP="00AC64A4">
      <w:pPr>
        <w:jc w:val="both"/>
        <w:rPr>
          <w:rFonts w:cs="Arial"/>
          <w:bCs/>
        </w:rPr>
      </w:pPr>
      <w:r w:rsidRPr="00B83F05">
        <w:rPr>
          <w:rFonts w:cs="Arial"/>
          <w:bCs/>
        </w:rPr>
        <w:t>Formal Complaints – investigation, discussion and resolution with the Complainant by the</w:t>
      </w:r>
      <w:r>
        <w:rPr>
          <w:rFonts w:cs="Arial"/>
          <w:bCs/>
        </w:rPr>
        <w:t xml:space="preserve"> Incident Execution Group.</w:t>
      </w:r>
      <w:r w:rsidRPr="00B83F05">
        <w:rPr>
          <w:rFonts w:cs="Arial"/>
          <w:bCs/>
        </w:rPr>
        <w:t xml:space="preserve"> </w:t>
      </w:r>
      <w:r>
        <w:rPr>
          <w:rFonts w:cs="Arial"/>
          <w:bCs/>
        </w:rPr>
        <w:t>GDPO must be informed about at every time and must approve the final resolution.</w:t>
      </w:r>
    </w:p>
    <w:p w14:paraId="2258F2E0" w14:textId="77777777" w:rsidR="00200739" w:rsidRDefault="00200739" w:rsidP="00AC64A4">
      <w:pPr>
        <w:jc w:val="both"/>
        <w:rPr>
          <w:rFonts w:cs="Arial"/>
          <w:bCs/>
        </w:rPr>
      </w:pPr>
      <w:r>
        <w:rPr>
          <w:rFonts w:cs="Arial"/>
          <w:bCs/>
        </w:rPr>
        <w:t>Level</w:t>
      </w:r>
      <w:r w:rsidRPr="00B83F05">
        <w:rPr>
          <w:rFonts w:cs="Arial"/>
          <w:bCs/>
        </w:rPr>
        <w:t xml:space="preserve"> 3</w:t>
      </w:r>
    </w:p>
    <w:p w14:paraId="496A2E53" w14:textId="77777777" w:rsidR="00200739" w:rsidRDefault="00200739" w:rsidP="00AC64A4">
      <w:pPr>
        <w:jc w:val="both"/>
        <w:rPr>
          <w:rFonts w:cs="Arial"/>
          <w:bCs/>
        </w:rPr>
      </w:pPr>
      <w:r w:rsidRPr="00B83F05">
        <w:rPr>
          <w:rFonts w:cs="Arial"/>
          <w:bCs/>
        </w:rPr>
        <w:t xml:space="preserve">Escalation to the </w:t>
      </w:r>
      <w:r>
        <w:rPr>
          <w:rFonts w:cs="Arial"/>
          <w:bCs/>
        </w:rPr>
        <w:t>GDPO</w:t>
      </w:r>
      <w:r w:rsidRPr="00B83F05">
        <w:rPr>
          <w:rFonts w:cs="Arial"/>
          <w:bCs/>
        </w:rPr>
        <w:t xml:space="preserve"> – consideration of the complaint and the prior investigation</w:t>
      </w:r>
      <w:r>
        <w:rPr>
          <w:rFonts w:cs="Arial"/>
          <w:bCs/>
        </w:rPr>
        <w:t>, communication</w:t>
      </w:r>
      <w:r w:rsidRPr="00B83F05">
        <w:rPr>
          <w:rFonts w:cs="Arial"/>
          <w:bCs/>
        </w:rPr>
        <w:t xml:space="preserve"> and efforts to resolve.</w:t>
      </w:r>
    </w:p>
    <w:p w14:paraId="098013C7" w14:textId="77777777" w:rsidR="00200739" w:rsidRDefault="00200739" w:rsidP="00AC64A4">
      <w:pPr>
        <w:jc w:val="both"/>
        <w:rPr>
          <w:rFonts w:cs="Arial"/>
          <w:bCs/>
        </w:rPr>
      </w:pPr>
      <w:r>
        <w:rPr>
          <w:rFonts w:cs="Arial"/>
          <w:bCs/>
        </w:rPr>
        <w:t>Level 4</w:t>
      </w:r>
    </w:p>
    <w:p w14:paraId="118362CE" w14:textId="77777777" w:rsidR="00200739" w:rsidRPr="00B83F05" w:rsidRDefault="00200739" w:rsidP="00AC64A4">
      <w:pPr>
        <w:jc w:val="both"/>
        <w:rPr>
          <w:rFonts w:cs="Arial"/>
          <w:bCs/>
        </w:rPr>
      </w:pPr>
      <w:r>
        <w:rPr>
          <w:rFonts w:cs="Arial"/>
          <w:bCs/>
        </w:rPr>
        <w:t>Final escalation to the DP responsible board member (CFO).</w:t>
      </w:r>
    </w:p>
    <w:p w14:paraId="7872446F" w14:textId="77777777" w:rsidR="00200739" w:rsidRPr="00B83F05" w:rsidRDefault="00200739" w:rsidP="00AC64A4">
      <w:pPr>
        <w:jc w:val="both"/>
        <w:rPr>
          <w:rFonts w:cs="Arial"/>
          <w:bCs/>
        </w:rPr>
      </w:pPr>
      <w:r w:rsidRPr="00B83F05">
        <w:rPr>
          <w:rFonts w:cs="Arial"/>
          <w:bCs/>
        </w:rPr>
        <w:t xml:space="preserve">All complaints should go fully through </w:t>
      </w:r>
      <w:r>
        <w:rPr>
          <w:rFonts w:cs="Arial"/>
          <w:bCs/>
        </w:rPr>
        <w:t>level</w:t>
      </w:r>
      <w:r w:rsidRPr="00B83F05">
        <w:rPr>
          <w:rFonts w:cs="Arial"/>
          <w:bCs/>
        </w:rPr>
        <w:t xml:space="preserve"> 1 or 2 before/if they proceed any further to </w:t>
      </w:r>
      <w:r>
        <w:rPr>
          <w:rFonts w:cs="Arial"/>
          <w:bCs/>
        </w:rPr>
        <w:t>level</w:t>
      </w:r>
      <w:r w:rsidRPr="00B83F05">
        <w:rPr>
          <w:rFonts w:cs="Arial"/>
          <w:bCs/>
        </w:rPr>
        <w:t xml:space="preserve"> 3. The </w:t>
      </w:r>
      <w:r>
        <w:rPr>
          <w:rFonts w:cs="Arial"/>
          <w:bCs/>
        </w:rPr>
        <w:t>G</w:t>
      </w:r>
      <w:r w:rsidRPr="00B83F05">
        <w:rPr>
          <w:rFonts w:cs="Arial"/>
          <w:bCs/>
        </w:rPr>
        <w:t xml:space="preserve">DPO can decide, on behalf of </w:t>
      </w:r>
      <w:r>
        <w:rPr>
          <w:rFonts w:cs="Arial"/>
          <w:bCs/>
        </w:rPr>
        <w:t>FPT Software</w:t>
      </w:r>
      <w:r w:rsidRPr="00B83F05">
        <w:rPr>
          <w:rFonts w:cs="Arial"/>
          <w:bCs/>
        </w:rPr>
        <w:t xml:space="preserve">, that a complaint is vexatious or of no merit to justify </w:t>
      </w:r>
      <w:r>
        <w:rPr>
          <w:rFonts w:cs="Arial"/>
          <w:bCs/>
        </w:rPr>
        <w:t>level</w:t>
      </w:r>
      <w:r w:rsidRPr="00B83F05">
        <w:rPr>
          <w:rFonts w:cs="Arial"/>
          <w:bCs/>
        </w:rPr>
        <w:t xml:space="preserve"> </w:t>
      </w:r>
      <w:r>
        <w:rPr>
          <w:rFonts w:cs="Arial"/>
          <w:bCs/>
        </w:rPr>
        <w:t>4</w:t>
      </w:r>
      <w:r w:rsidRPr="00B83F05">
        <w:rPr>
          <w:rFonts w:cs="Arial"/>
          <w:bCs/>
        </w:rPr>
        <w:t xml:space="preserve"> and can refuse any Complainant’s request for a </w:t>
      </w:r>
      <w:r>
        <w:rPr>
          <w:rFonts w:cs="Arial"/>
          <w:bCs/>
        </w:rPr>
        <w:t>level</w:t>
      </w:r>
      <w:r w:rsidRPr="00B83F05">
        <w:rPr>
          <w:rFonts w:cs="Arial"/>
          <w:bCs/>
        </w:rPr>
        <w:t xml:space="preserve"> </w:t>
      </w:r>
      <w:r>
        <w:rPr>
          <w:rFonts w:cs="Arial"/>
          <w:bCs/>
        </w:rPr>
        <w:t>4</w:t>
      </w:r>
      <w:r w:rsidRPr="00B83F05">
        <w:rPr>
          <w:rFonts w:cs="Arial"/>
          <w:bCs/>
        </w:rPr>
        <w:t xml:space="preserve"> review. Such a decision is to be undertaken in the knowledge that the Complainant’s next step would be to the </w:t>
      </w:r>
      <w:r>
        <w:rPr>
          <w:rFonts w:cs="Arial"/>
          <w:bCs/>
        </w:rPr>
        <w:t>Supervisory Authorities</w:t>
      </w:r>
      <w:r w:rsidRPr="00B83F05">
        <w:rPr>
          <w:rFonts w:cs="Arial"/>
          <w:bCs/>
        </w:rPr>
        <w:t xml:space="preserve"> or legal action which are factors that shall be taken into account in such decision.</w:t>
      </w:r>
    </w:p>
    <w:p w14:paraId="52B86117" w14:textId="77777777" w:rsidR="00200739" w:rsidRDefault="00200739" w:rsidP="000901C3">
      <w:pPr>
        <w:jc w:val="both"/>
        <w:rPr>
          <w:rFonts w:cs="Arial"/>
          <w:bCs/>
        </w:rPr>
      </w:pPr>
      <w:r w:rsidRPr="00B83F05">
        <w:rPr>
          <w:rFonts w:cs="Arial"/>
          <w:bCs/>
        </w:rPr>
        <w:t xml:space="preserve">Any </w:t>
      </w:r>
      <w:r>
        <w:rPr>
          <w:rFonts w:cs="Arial"/>
          <w:bCs/>
        </w:rPr>
        <w:t>Level</w:t>
      </w:r>
      <w:r w:rsidRPr="00B83F05">
        <w:rPr>
          <w:rFonts w:cs="Arial"/>
          <w:bCs/>
        </w:rPr>
        <w:t xml:space="preserve"> 2 Formal Complaint that is reasonably established to have been a reportable breach of </w:t>
      </w:r>
      <w:r>
        <w:rPr>
          <w:rFonts w:cs="Arial"/>
          <w:bCs/>
        </w:rPr>
        <w:t>Data Protection laws or regulations</w:t>
      </w:r>
      <w:r w:rsidRPr="00B83F05">
        <w:rPr>
          <w:rFonts w:cs="Arial"/>
          <w:bCs/>
        </w:rPr>
        <w:t xml:space="preserve"> shall be reported to the </w:t>
      </w:r>
      <w:r>
        <w:rPr>
          <w:rFonts w:cs="Arial"/>
          <w:bCs/>
        </w:rPr>
        <w:t>Supervisory Authorities</w:t>
      </w:r>
      <w:r w:rsidRPr="00B83F05">
        <w:rPr>
          <w:rFonts w:cs="Arial"/>
          <w:bCs/>
        </w:rPr>
        <w:t xml:space="preserve"> as soon as reasonably possible after it has been established, and within 72 hours.</w:t>
      </w:r>
    </w:p>
    <w:p w14:paraId="0671987C" w14:textId="77777777" w:rsidR="00200739" w:rsidRPr="006A36AA" w:rsidRDefault="00200739" w:rsidP="000901C3">
      <w:pPr>
        <w:jc w:val="both"/>
        <w:rPr>
          <w:rFonts w:cs="Arial"/>
          <w:bCs/>
        </w:rPr>
      </w:pPr>
      <w:r w:rsidRPr="006A36AA">
        <w:rPr>
          <w:rFonts w:cs="Arial"/>
          <w:bCs/>
        </w:rPr>
        <w:t>Receipt of the escalated complaint is acknowledged within one working day.</w:t>
      </w:r>
    </w:p>
    <w:p w14:paraId="4EF37A74" w14:textId="77777777" w:rsidR="00200739" w:rsidRDefault="00200739" w:rsidP="000901C3">
      <w:pPr>
        <w:jc w:val="both"/>
        <w:rPr>
          <w:rFonts w:cs="Arial"/>
          <w:bCs/>
        </w:rPr>
      </w:pPr>
      <w:r w:rsidRPr="006A36AA">
        <w:rPr>
          <w:rFonts w:cs="Arial"/>
          <w:bCs/>
        </w:rPr>
        <w:t xml:space="preserve">The DPO fully briefs </w:t>
      </w:r>
      <w:r>
        <w:rPr>
          <w:rFonts w:cs="Arial"/>
          <w:bCs/>
        </w:rPr>
        <w:t xml:space="preserve">DP responsible board member (CFO) </w:t>
      </w:r>
      <w:r w:rsidRPr="006A36AA">
        <w:rPr>
          <w:rFonts w:cs="Arial"/>
          <w:bCs/>
        </w:rPr>
        <w:t xml:space="preserve">hearing the complaint concerning its history and the details and conclusions of any prior </w:t>
      </w:r>
      <w:r>
        <w:rPr>
          <w:rFonts w:cs="Arial"/>
          <w:bCs/>
        </w:rPr>
        <w:t>Level</w:t>
      </w:r>
      <w:r w:rsidRPr="006A36AA">
        <w:rPr>
          <w:rFonts w:cs="Arial"/>
          <w:bCs/>
        </w:rPr>
        <w:t xml:space="preserve"> 1 or </w:t>
      </w:r>
      <w:r>
        <w:rPr>
          <w:rFonts w:cs="Arial"/>
          <w:bCs/>
        </w:rPr>
        <w:t>Level</w:t>
      </w:r>
      <w:r w:rsidRPr="006A36AA">
        <w:rPr>
          <w:rFonts w:cs="Arial"/>
          <w:bCs/>
        </w:rPr>
        <w:t xml:space="preserve"> 2 investigations. Within 5 working days, the Complainant is advised of when the relevant </w:t>
      </w:r>
      <w:r>
        <w:rPr>
          <w:rFonts w:cs="Arial"/>
          <w:bCs/>
        </w:rPr>
        <w:t xml:space="preserve">DP responsible board member (CFO) </w:t>
      </w:r>
      <w:r w:rsidRPr="006A36AA">
        <w:rPr>
          <w:rFonts w:cs="Arial"/>
          <w:bCs/>
        </w:rPr>
        <w:t xml:space="preserve">will be considering the complaint which will be no more than 2 working weeks from the date of the acknowledgement of the escalated complaint. </w:t>
      </w:r>
    </w:p>
    <w:p w14:paraId="6DAD90D3" w14:textId="77777777" w:rsidR="00200739" w:rsidRDefault="00200739" w:rsidP="000901C3">
      <w:pPr>
        <w:jc w:val="both"/>
        <w:rPr>
          <w:rFonts w:cs="Arial"/>
          <w:bCs/>
        </w:rPr>
      </w:pPr>
      <w:r w:rsidRPr="006A36AA">
        <w:rPr>
          <w:rFonts w:cs="Arial"/>
          <w:bCs/>
        </w:rPr>
        <w:t xml:space="preserve">The Complainant will be invited to make a final written submission to the </w:t>
      </w:r>
      <w:r>
        <w:rPr>
          <w:rFonts w:cs="Arial"/>
          <w:bCs/>
        </w:rPr>
        <w:t>DP responsible board member (CFO)</w:t>
      </w:r>
      <w:r w:rsidRPr="006A36AA">
        <w:rPr>
          <w:rFonts w:cs="Arial"/>
          <w:bCs/>
        </w:rPr>
        <w:t>.</w:t>
      </w:r>
      <w:r>
        <w:rPr>
          <w:rFonts w:cs="Arial"/>
          <w:bCs/>
        </w:rPr>
        <w:t xml:space="preserve"> </w:t>
      </w:r>
      <w:r w:rsidRPr="006A36AA">
        <w:rPr>
          <w:rFonts w:cs="Arial"/>
          <w:bCs/>
        </w:rPr>
        <w:t xml:space="preserve">If the Complainant is asked to attend a meeting in person, the Complainant may be accompanied by an independent person for the purposes of support. The </w:t>
      </w:r>
      <w:r>
        <w:rPr>
          <w:rFonts w:cs="Arial"/>
          <w:bCs/>
        </w:rPr>
        <w:t>DP responsible board member (CFO)</w:t>
      </w:r>
      <w:r w:rsidRPr="006A36AA">
        <w:rPr>
          <w:rFonts w:cs="Arial"/>
          <w:bCs/>
        </w:rPr>
        <w:t xml:space="preserve"> concerned will proceed with review of the substance of the case and its handling. </w:t>
      </w:r>
    </w:p>
    <w:p w14:paraId="48A40DCB" w14:textId="27CAC5ED" w:rsidR="00200739" w:rsidRPr="006A36AA" w:rsidRDefault="00200739" w:rsidP="000901C3">
      <w:pPr>
        <w:spacing w:before="0"/>
        <w:jc w:val="both"/>
        <w:rPr>
          <w:rFonts w:cs="Arial"/>
          <w:bCs/>
        </w:rPr>
      </w:pPr>
      <w:r w:rsidRPr="006A36AA">
        <w:rPr>
          <w:rFonts w:cs="Arial"/>
          <w:bCs/>
        </w:rPr>
        <w:t xml:space="preserve">The Complainant will receive a response from the </w:t>
      </w:r>
      <w:r>
        <w:rPr>
          <w:rFonts w:cs="Arial"/>
          <w:bCs/>
        </w:rPr>
        <w:t>DP responsible board member (CFO)</w:t>
      </w:r>
      <w:r w:rsidRPr="006A36AA">
        <w:rPr>
          <w:rFonts w:cs="Arial"/>
          <w:bCs/>
        </w:rPr>
        <w:t xml:space="preserve"> or</w:t>
      </w:r>
      <w:r>
        <w:rPr>
          <w:rFonts w:cs="Arial"/>
          <w:bCs/>
        </w:rPr>
        <w:t xml:space="preserve"> </w:t>
      </w:r>
      <w:r w:rsidRPr="006A36AA">
        <w:rPr>
          <w:rFonts w:cs="Arial"/>
          <w:bCs/>
        </w:rPr>
        <w:t xml:space="preserve">the DPO within 10 working days after the </w:t>
      </w:r>
      <w:r>
        <w:rPr>
          <w:rFonts w:cs="Arial"/>
          <w:bCs/>
        </w:rPr>
        <w:t xml:space="preserve">DP responsible board member’s (CFO) </w:t>
      </w:r>
      <w:r w:rsidRPr="006A36AA">
        <w:rPr>
          <w:rFonts w:cs="Arial"/>
          <w:bCs/>
        </w:rPr>
        <w:t xml:space="preserve">consideration of the complaint. The </w:t>
      </w:r>
      <w:r>
        <w:rPr>
          <w:rFonts w:cs="Arial"/>
          <w:bCs/>
        </w:rPr>
        <w:t>DP responsible board member (CFO)</w:t>
      </w:r>
      <w:r w:rsidRPr="006A36AA">
        <w:rPr>
          <w:rFonts w:cs="Arial"/>
          <w:bCs/>
        </w:rPr>
        <w:t xml:space="preserve">’s decision is final, subject to any ruling or information relating thereto from the </w:t>
      </w:r>
      <w:r>
        <w:rPr>
          <w:rFonts w:cs="Arial"/>
          <w:bCs/>
        </w:rPr>
        <w:t>Supervisory Authorities</w:t>
      </w:r>
      <w:r w:rsidRPr="006A36AA">
        <w:rPr>
          <w:rFonts w:cs="Arial"/>
          <w:bCs/>
        </w:rPr>
        <w:t>. Timeframe: Between one working day and, at the latest, 28 working days after submission of complaint.</w:t>
      </w:r>
    </w:p>
    <w:p w14:paraId="58B20135" w14:textId="77777777" w:rsidR="00200739" w:rsidRDefault="00200739" w:rsidP="000901C3">
      <w:pPr>
        <w:jc w:val="both"/>
        <w:rPr>
          <w:rFonts w:cs="Arial"/>
          <w:bCs/>
        </w:rPr>
      </w:pPr>
      <w:r w:rsidRPr="006A36AA">
        <w:rPr>
          <w:rFonts w:cs="Arial"/>
          <w:bCs/>
        </w:rPr>
        <w:t xml:space="preserve">Method: Written response from </w:t>
      </w:r>
      <w:r>
        <w:rPr>
          <w:rFonts w:cs="Arial"/>
          <w:bCs/>
        </w:rPr>
        <w:t>the DP responsible board member (CFO)</w:t>
      </w:r>
      <w:r w:rsidRPr="006A36AA">
        <w:rPr>
          <w:rFonts w:cs="Arial"/>
          <w:bCs/>
        </w:rPr>
        <w:t xml:space="preserve"> or on his behalf by the DPO.</w:t>
      </w:r>
    </w:p>
    <w:p w14:paraId="3FE52DA3" w14:textId="77777777" w:rsidR="00200739" w:rsidRDefault="00200739" w:rsidP="00200739">
      <w:pPr>
        <w:pStyle w:val="Heading2"/>
        <w:numPr>
          <w:ilvl w:val="0"/>
          <w:numId w:val="0"/>
        </w:numPr>
        <w:ind w:left="576" w:hanging="576"/>
        <w:rPr>
          <w:rFonts w:cs="Arial"/>
          <w:bCs/>
        </w:rPr>
      </w:pPr>
      <w:bookmarkStart w:id="24" w:name="_Toc69980533"/>
      <w:bookmarkStart w:id="25" w:name="_Toc118288314"/>
      <w:r>
        <w:rPr>
          <w:rFonts w:cs="Arial"/>
          <w:bCs/>
        </w:rPr>
        <w:lastRenderedPageBreak/>
        <w:t>2.5</w:t>
      </w:r>
      <w:r>
        <w:rPr>
          <w:rFonts w:cs="Arial"/>
          <w:bCs/>
        </w:rPr>
        <w:tab/>
      </w:r>
      <w:r w:rsidRPr="00FD7522">
        <w:rPr>
          <w:rFonts w:cs="Arial"/>
          <w:bCs/>
        </w:rPr>
        <w:t>Data Protection Complaint Inventory</w:t>
      </w:r>
      <w:bookmarkEnd w:id="24"/>
      <w:bookmarkEnd w:id="25"/>
    </w:p>
    <w:p w14:paraId="5614A8D2" w14:textId="04B95760" w:rsidR="00200739" w:rsidRPr="00FD7522" w:rsidRDefault="00200739" w:rsidP="008C5E0F">
      <w:pPr>
        <w:pStyle w:val="BodyText"/>
        <w:jc w:val="both"/>
      </w:pPr>
      <w:r>
        <w:t xml:space="preserve">FPT Software </w:t>
      </w:r>
      <w:r w:rsidRPr="00FD7522">
        <w:t xml:space="preserve">shall keep a written log of complaints received and actions taken, and decisions reached in a Data Protection Complaint Inventory. This shall consist of an adequate record to be retained of a case, any reporting to </w:t>
      </w:r>
      <w:r>
        <w:t>any Supervisory Authorities</w:t>
      </w:r>
      <w:r w:rsidRPr="00FD7522">
        <w:t>, action taken by F</w:t>
      </w:r>
      <w:r>
        <w:t>PT Software</w:t>
      </w:r>
      <w:r w:rsidRPr="00FD7522">
        <w:t xml:space="preserve"> and action/conclusion required by </w:t>
      </w:r>
      <w:r>
        <w:t>any</w:t>
      </w:r>
      <w:r w:rsidRPr="00FD7522">
        <w:t xml:space="preserve"> </w:t>
      </w:r>
      <w:r>
        <w:t>Supervisory Authorities (</w:t>
      </w:r>
      <w:proofErr w:type="spellStart"/>
      <w:r w:rsidR="00EE42FF" w:rsidRPr="002A4856">
        <w:t>Template_Data</w:t>
      </w:r>
      <w:proofErr w:type="spellEnd"/>
      <w:r w:rsidR="00EE42FF" w:rsidRPr="002A4856">
        <w:t xml:space="preserve"> Subject Request Incident Compliant Appeal Register</w:t>
      </w:r>
      <w:r w:rsidR="00EE42FF" w:rsidRPr="00EE42FF">
        <w:t>_v1.</w:t>
      </w:r>
      <w:r w:rsidR="00165DCF">
        <w:t>3</w:t>
      </w:r>
      <w:r w:rsidR="00FB3FA2">
        <w:t>, DS requests, complaints and appeals</w:t>
      </w:r>
      <w:r>
        <w:t>).</w:t>
      </w:r>
    </w:p>
    <w:p w14:paraId="719D5BA0" w14:textId="77777777" w:rsidR="00200739" w:rsidRPr="00AE41DF" w:rsidRDefault="00200739" w:rsidP="00200739">
      <w:pPr>
        <w:pStyle w:val="Heading1"/>
        <w:rPr>
          <w:rFonts w:cs="Arial"/>
          <w:szCs w:val="24"/>
        </w:rPr>
      </w:pPr>
      <w:bookmarkStart w:id="26" w:name="_Toc69980534"/>
      <w:bookmarkStart w:id="27" w:name="_Toc118288315"/>
      <w:r w:rsidRPr="00AE41DF">
        <w:rPr>
          <w:rFonts w:cs="Arial"/>
          <w:szCs w:val="24"/>
        </w:rPr>
        <w:lastRenderedPageBreak/>
        <w:t>APPENDIX</w:t>
      </w:r>
      <w:bookmarkEnd w:id="26"/>
      <w:bookmarkEnd w:id="27"/>
    </w:p>
    <w:p w14:paraId="3CD0F313" w14:textId="77777777" w:rsidR="00200739" w:rsidRPr="009D7C4E" w:rsidRDefault="00200739" w:rsidP="00200739">
      <w:pPr>
        <w:pStyle w:val="Heading2"/>
        <w:rPr>
          <w:rFonts w:cs="Arial"/>
          <w:szCs w:val="22"/>
        </w:rPr>
      </w:pPr>
      <w:bookmarkStart w:id="28" w:name="_Toc262131038"/>
      <w:bookmarkStart w:id="29" w:name="_Toc69980535"/>
      <w:bookmarkStart w:id="30" w:name="_Toc118288316"/>
      <w:r w:rsidRPr="009D7C4E">
        <w:rPr>
          <w:rFonts w:cs="Arial"/>
          <w:szCs w:val="22"/>
        </w:rPr>
        <w:t>Definition</w:t>
      </w:r>
      <w:bookmarkEnd w:id="28"/>
      <w:bookmarkEnd w:id="29"/>
      <w:bookmarkEnd w:id="30"/>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200739" w:rsidRPr="008C5E0F" w14:paraId="7ECBD1CC" w14:textId="77777777" w:rsidTr="006D0288">
        <w:trPr>
          <w:tblHeader/>
        </w:trPr>
        <w:tc>
          <w:tcPr>
            <w:tcW w:w="2016" w:type="dxa"/>
            <w:shd w:val="clear" w:color="auto" w:fill="D9D9D9"/>
            <w:vAlign w:val="center"/>
          </w:tcPr>
          <w:p w14:paraId="3709F3BF" w14:textId="77777777" w:rsidR="00200739" w:rsidRPr="008C5E0F" w:rsidRDefault="00200739" w:rsidP="006D0288">
            <w:pPr>
              <w:rPr>
                <w:rFonts w:cs="Arial"/>
                <w:b/>
              </w:rPr>
            </w:pPr>
            <w:r w:rsidRPr="008C5E0F">
              <w:rPr>
                <w:rFonts w:cs="Arial"/>
                <w:b/>
              </w:rPr>
              <w:t>Abbreviations</w:t>
            </w:r>
          </w:p>
        </w:tc>
        <w:tc>
          <w:tcPr>
            <w:tcW w:w="7056" w:type="dxa"/>
            <w:shd w:val="clear" w:color="auto" w:fill="D9D9D9"/>
            <w:vAlign w:val="center"/>
          </w:tcPr>
          <w:p w14:paraId="13D8CA0B" w14:textId="77777777" w:rsidR="00200739" w:rsidRPr="008C5E0F" w:rsidRDefault="00200739" w:rsidP="006D0288">
            <w:pPr>
              <w:rPr>
                <w:rFonts w:cs="Arial"/>
                <w:b/>
              </w:rPr>
            </w:pPr>
            <w:r w:rsidRPr="008C5E0F">
              <w:rPr>
                <w:rFonts w:cs="Arial"/>
                <w:b/>
              </w:rPr>
              <w:t>Description</w:t>
            </w:r>
          </w:p>
        </w:tc>
      </w:tr>
      <w:tr w:rsidR="00200739" w:rsidRPr="008114CC" w14:paraId="022EC978" w14:textId="77777777" w:rsidTr="006D0288">
        <w:tc>
          <w:tcPr>
            <w:tcW w:w="2016" w:type="dxa"/>
            <w:shd w:val="clear" w:color="auto" w:fill="FFFFFF"/>
          </w:tcPr>
          <w:p w14:paraId="6C3C7C16" w14:textId="77777777" w:rsidR="00200739" w:rsidRPr="008114CC" w:rsidRDefault="00200739" w:rsidP="006D0288">
            <w:pPr>
              <w:rPr>
                <w:rFonts w:cs="Arial"/>
                <w:szCs w:val="24"/>
              </w:rPr>
            </w:pPr>
            <w:r w:rsidRPr="008114CC">
              <w:rPr>
                <w:rFonts w:eastAsia="Microsoft JhengHei" w:cs="Arial"/>
                <w:szCs w:val="24"/>
              </w:rPr>
              <w:t>PII</w:t>
            </w:r>
            <w:r>
              <w:rPr>
                <w:rFonts w:eastAsia="Microsoft JhengHei" w:cs="Arial"/>
                <w:szCs w:val="24"/>
              </w:rPr>
              <w:t>,</w:t>
            </w:r>
            <w:r w:rsidRPr="008114CC">
              <w:rPr>
                <w:rFonts w:eastAsia="Microsoft JhengHei" w:cs="Arial"/>
                <w:szCs w:val="24"/>
              </w:rPr>
              <w:t xml:space="preserve"> Personal Identifiable Information</w:t>
            </w:r>
            <w:r>
              <w:rPr>
                <w:rFonts w:eastAsia="Microsoft JhengHei" w:cs="Arial"/>
                <w:szCs w:val="24"/>
              </w:rPr>
              <w:t>,</w:t>
            </w:r>
            <w:r>
              <w:rPr>
                <w:rFonts w:eastAsia="Microsoft JhengHei" w:cs="Arial"/>
                <w:szCs w:val="24"/>
              </w:rPr>
              <w:br/>
              <w:t>Personal Data</w:t>
            </w:r>
          </w:p>
        </w:tc>
        <w:tc>
          <w:tcPr>
            <w:tcW w:w="7056" w:type="dxa"/>
            <w:shd w:val="clear" w:color="auto" w:fill="FFFFFF"/>
          </w:tcPr>
          <w:p w14:paraId="6771574B" w14:textId="77777777" w:rsidR="00200739" w:rsidRPr="008114CC" w:rsidRDefault="00200739" w:rsidP="006D0288">
            <w:pPr>
              <w:rPr>
                <w:rFonts w:cs="Arial"/>
                <w:lang w:eastAsia="zh-TW"/>
              </w:rPr>
            </w:pPr>
            <w:r w:rsidRPr="008114CC">
              <w:rPr>
                <w:rFonts w:cs="Arial"/>
                <w:lang w:eastAsia="zh-TW"/>
              </w:rPr>
              <w:t>Refer to the personal data defined by the EU GDPR (Article 4 (1)</w:t>
            </w:r>
            <w:r>
              <w:rPr>
                <w:rFonts w:cs="Arial"/>
                <w:lang w:eastAsia="zh-TW"/>
              </w:rPr>
              <w:t>)</w:t>
            </w:r>
            <w:r w:rsidRPr="008114CC">
              <w:rPr>
                <w:rFonts w:cs="Arial"/>
                <w:lang w:eastAsia="zh-TW"/>
              </w:rPr>
              <w:t>,</w:t>
            </w:r>
            <w:r>
              <w:rPr>
                <w:rFonts w:cs="Arial"/>
                <w:lang w:eastAsia="zh-TW"/>
              </w:rPr>
              <w:br/>
            </w:r>
            <w:r w:rsidRPr="008114CC">
              <w:rPr>
                <w:rFonts w:cs="Arial"/>
                <w:lang w:eastAsia="zh-TW"/>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rFonts w:cs="Arial"/>
                <w:lang w:eastAsia="zh-TW"/>
              </w:rPr>
              <w:t>.</w:t>
            </w:r>
          </w:p>
        </w:tc>
      </w:tr>
      <w:tr w:rsidR="00200739" w:rsidRPr="008114CC" w14:paraId="315BBC4C" w14:textId="77777777" w:rsidTr="006D0288">
        <w:tc>
          <w:tcPr>
            <w:tcW w:w="2016" w:type="dxa"/>
          </w:tcPr>
          <w:p w14:paraId="57F39F50" w14:textId="77777777" w:rsidR="00200739" w:rsidRPr="00F55F25" w:rsidRDefault="00200739" w:rsidP="006D0288">
            <w:pPr>
              <w:pStyle w:val="BodyText"/>
              <w:spacing w:after="0"/>
            </w:pPr>
            <w:r w:rsidRPr="00F55F25">
              <w:t>Data Subject</w:t>
            </w:r>
          </w:p>
        </w:tc>
        <w:tc>
          <w:tcPr>
            <w:tcW w:w="7056" w:type="dxa"/>
          </w:tcPr>
          <w:p w14:paraId="3833AC0A" w14:textId="77777777" w:rsidR="00200739" w:rsidRPr="008114CC" w:rsidRDefault="00200739" w:rsidP="006D0288">
            <w:pPr>
              <w:pStyle w:val="BodyText"/>
              <w:spacing w:after="0"/>
              <w:rPr>
                <w:lang w:eastAsia="zh-TW"/>
              </w:rPr>
            </w:pPr>
            <w:r w:rsidRPr="008114CC">
              <w:rPr>
                <w:lang w:eastAsia="zh-TW"/>
              </w:rPr>
              <w:t xml:space="preserve">EU GDPR (Article 4 </w:t>
            </w:r>
            <w:r>
              <w:rPr>
                <w:lang w:eastAsia="zh-TW"/>
              </w:rPr>
              <w:t>- 1)</w:t>
            </w:r>
            <w:r w:rsidRPr="008114CC">
              <w:rPr>
                <w:lang w:eastAsia="zh-TW"/>
              </w:rPr>
              <w:t>,</w:t>
            </w:r>
            <w:r>
              <w:rPr>
                <w:lang w:eastAsia="zh-TW"/>
              </w:rPr>
              <w:br/>
            </w:r>
            <w:r w:rsidRPr="00E5137D">
              <w:t>Data subject refers to any individual person who can be identified, directly or indirectly</w:t>
            </w:r>
            <w:r>
              <w:t>.</w:t>
            </w:r>
          </w:p>
        </w:tc>
      </w:tr>
      <w:tr w:rsidR="00200739" w:rsidRPr="008114CC" w14:paraId="5650AAD5" w14:textId="77777777" w:rsidTr="006D0288">
        <w:tc>
          <w:tcPr>
            <w:tcW w:w="2016" w:type="dxa"/>
          </w:tcPr>
          <w:p w14:paraId="27538016" w14:textId="77777777" w:rsidR="00200739" w:rsidRPr="00F55F25" w:rsidRDefault="00200739" w:rsidP="006D0288">
            <w:pPr>
              <w:pStyle w:val="BodyText"/>
              <w:spacing w:after="0"/>
            </w:pPr>
            <w:r>
              <w:t>Data Controller</w:t>
            </w:r>
          </w:p>
        </w:tc>
        <w:tc>
          <w:tcPr>
            <w:tcW w:w="7056" w:type="dxa"/>
          </w:tcPr>
          <w:p w14:paraId="4965829D" w14:textId="77777777" w:rsidR="00200739" w:rsidRPr="008114CC" w:rsidRDefault="00200739" w:rsidP="006D0288">
            <w:pPr>
              <w:pStyle w:val="BodyText"/>
              <w:spacing w:after="0"/>
              <w:rPr>
                <w:lang w:eastAsia="zh-TW"/>
              </w:rPr>
            </w:pPr>
            <w:r w:rsidRPr="008114CC">
              <w:rPr>
                <w:lang w:eastAsia="zh-TW"/>
              </w:rPr>
              <w:t>EU GDPR (Article 4</w:t>
            </w:r>
            <w:r>
              <w:rPr>
                <w:lang w:eastAsia="zh-TW"/>
              </w:rPr>
              <w:t xml:space="preserve"> - 7)</w:t>
            </w:r>
            <w:r w:rsidRPr="008114CC">
              <w:rPr>
                <w:lang w:eastAsia="zh-TW"/>
              </w:rPr>
              <w:t>,</w:t>
            </w:r>
            <w:r>
              <w:rPr>
                <w:lang w:eastAsia="zh-TW"/>
              </w:rPr>
              <w:br/>
            </w:r>
            <w:r w:rsidRPr="00E5137D">
              <w:rPr>
                <w:lang w:eastAsia="zh-TW"/>
              </w:rP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r>
              <w:rPr>
                <w:lang w:eastAsia="zh-TW"/>
              </w:rPr>
              <w:t>.</w:t>
            </w:r>
          </w:p>
        </w:tc>
      </w:tr>
      <w:tr w:rsidR="00200739" w:rsidRPr="008114CC" w14:paraId="63DDFD50" w14:textId="77777777" w:rsidTr="006D0288">
        <w:tc>
          <w:tcPr>
            <w:tcW w:w="2016" w:type="dxa"/>
          </w:tcPr>
          <w:p w14:paraId="6FB6997F" w14:textId="77777777" w:rsidR="00200739" w:rsidRDefault="00200739" w:rsidP="006D0288">
            <w:pPr>
              <w:pStyle w:val="BodyText"/>
              <w:spacing w:after="0"/>
            </w:pPr>
            <w:r>
              <w:t>Data Processor</w:t>
            </w:r>
          </w:p>
        </w:tc>
        <w:tc>
          <w:tcPr>
            <w:tcW w:w="7056" w:type="dxa"/>
          </w:tcPr>
          <w:p w14:paraId="4B2BA176" w14:textId="77777777" w:rsidR="00200739" w:rsidRPr="008114CC" w:rsidRDefault="00200739" w:rsidP="006D0288">
            <w:pPr>
              <w:pStyle w:val="BodyText"/>
              <w:spacing w:after="0"/>
              <w:rPr>
                <w:lang w:eastAsia="zh-TW"/>
              </w:rPr>
            </w:pPr>
            <w:r w:rsidRPr="008114CC">
              <w:rPr>
                <w:lang w:eastAsia="zh-TW"/>
              </w:rPr>
              <w:t>EU GDPR (Article 4</w:t>
            </w:r>
            <w:r>
              <w:rPr>
                <w:lang w:eastAsia="zh-TW"/>
              </w:rPr>
              <w:t xml:space="preserve"> - 8)</w:t>
            </w:r>
            <w:r w:rsidRPr="008114CC">
              <w:rPr>
                <w:lang w:eastAsia="zh-TW"/>
              </w:rPr>
              <w:t>,</w:t>
            </w:r>
            <w:r>
              <w:rPr>
                <w:lang w:eastAsia="zh-TW"/>
              </w:rPr>
              <w:br/>
            </w:r>
            <w:r w:rsidRPr="00E5137D">
              <w:rPr>
                <w:lang w:eastAsia="zh-TW"/>
              </w:rPr>
              <w:t>Data Processor means a natural or legal person, public authority, agency or anybody which processes data on behalf of the controller</w:t>
            </w:r>
            <w:r>
              <w:rPr>
                <w:lang w:eastAsia="zh-TW"/>
              </w:rPr>
              <w:t>.</w:t>
            </w:r>
          </w:p>
        </w:tc>
      </w:tr>
      <w:tr w:rsidR="00200739" w:rsidRPr="008114CC" w14:paraId="7CC4A96C" w14:textId="77777777" w:rsidTr="006D0288">
        <w:tc>
          <w:tcPr>
            <w:tcW w:w="2016" w:type="dxa"/>
          </w:tcPr>
          <w:p w14:paraId="564BD0E9" w14:textId="77777777" w:rsidR="00200739" w:rsidRDefault="00200739" w:rsidP="006D0288">
            <w:pPr>
              <w:pStyle w:val="BodyText"/>
              <w:spacing w:after="0"/>
            </w:pPr>
            <w:r>
              <w:t xml:space="preserve">Recipient </w:t>
            </w:r>
          </w:p>
        </w:tc>
        <w:tc>
          <w:tcPr>
            <w:tcW w:w="7056" w:type="dxa"/>
          </w:tcPr>
          <w:p w14:paraId="359A553C" w14:textId="77777777" w:rsidR="00200739" w:rsidRPr="008114CC" w:rsidRDefault="00200739" w:rsidP="006D0288">
            <w:pPr>
              <w:pStyle w:val="BodyText"/>
              <w:spacing w:after="0"/>
              <w:rPr>
                <w:lang w:eastAsia="zh-TW"/>
              </w:rPr>
            </w:pPr>
            <w:r w:rsidRPr="008114CC">
              <w:rPr>
                <w:lang w:eastAsia="zh-TW"/>
              </w:rPr>
              <w:t>EU GDPR (Article 4</w:t>
            </w:r>
            <w:r>
              <w:rPr>
                <w:lang w:eastAsia="zh-TW"/>
              </w:rPr>
              <w:t xml:space="preserve"> - 9)</w:t>
            </w:r>
            <w:r w:rsidRPr="008114CC">
              <w:rPr>
                <w:lang w:eastAsia="zh-TW"/>
              </w:rPr>
              <w:t>,</w:t>
            </w:r>
            <w:r>
              <w:rPr>
                <w:lang w:eastAsia="zh-TW"/>
              </w:rPr>
              <w:br/>
              <w:t>A</w:t>
            </w:r>
            <w:r w:rsidRPr="00E5137D">
              <w:rPr>
                <w:lang w:eastAsia="zh-TW"/>
              </w:rPr>
              <w:t xml:space="preserve"> natural or legal person, public authority, agency or anybody, to which the personal data are disclosed, whether third party or not</w:t>
            </w:r>
            <w:r>
              <w:rPr>
                <w:lang w:eastAsia="zh-TW"/>
              </w:rPr>
              <w:t>.</w:t>
            </w:r>
          </w:p>
        </w:tc>
      </w:tr>
      <w:tr w:rsidR="00200739" w:rsidRPr="008114CC" w14:paraId="2B1C757F" w14:textId="77777777" w:rsidTr="006D0288">
        <w:tc>
          <w:tcPr>
            <w:tcW w:w="2016" w:type="dxa"/>
          </w:tcPr>
          <w:p w14:paraId="1FA49124" w14:textId="77777777" w:rsidR="00200739" w:rsidRDefault="00200739" w:rsidP="006D0288">
            <w:pPr>
              <w:pStyle w:val="BodyText"/>
              <w:spacing w:after="0"/>
            </w:pPr>
            <w:r>
              <w:t>Third Party</w:t>
            </w:r>
          </w:p>
        </w:tc>
        <w:tc>
          <w:tcPr>
            <w:tcW w:w="7056" w:type="dxa"/>
          </w:tcPr>
          <w:p w14:paraId="0760E421" w14:textId="77777777" w:rsidR="00200739" w:rsidRPr="008114CC" w:rsidRDefault="00200739" w:rsidP="006D0288">
            <w:pPr>
              <w:pStyle w:val="BodyText"/>
              <w:spacing w:after="0"/>
              <w:rPr>
                <w:lang w:eastAsia="zh-TW"/>
              </w:rPr>
            </w:pPr>
            <w:r w:rsidRPr="008114CC">
              <w:rPr>
                <w:lang w:eastAsia="zh-TW"/>
              </w:rPr>
              <w:t>EU GDPR (Article 4</w:t>
            </w:r>
            <w:r>
              <w:rPr>
                <w:lang w:eastAsia="zh-TW"/>
              </w:rPr>
              <w:t xml:space="preserve"> - 10)</w:t>
            </w:r>
            <w:r w:rsidRPr="008114CC">
              <w:rPr>
                <w:lang w:eastAsia="zh-TW"/>
              </w:rPr>
              <w:t>,</w:t>
            </w:r>
            <w:r>
              <w:rPr>
                <w:lang w:eastAsia="zh-TW"/>
              </w:rPr>
              <w:br/>
              <w:t>A</w:t>
            </w:r>
            <w:r w:rsidRPr="00E5137D">
              <w:rPr>
                <w:lang w:eastAsia="zh-TW"/>
              </w:rPr>
              <w:t xml:space="preserve"> natural or legal person, public authority, agency or anybody other than the data subject, controller, processor and persons who under direct authority of controller or processor, are authorized to process personal data</w:t>
            </w:r>
          </w:p>
        </w:tc>
      </w:tr>
      <w:tr w:rsidR="00200739" w:rsidRPr="008114CC" w14:paraId="6EE8F82D" w14:textId="77777777" w:rsidTr="006D0288">
        <w:tc>
          <w:tcPr>
            <w:tcW w:w="2016" w:type="dxa"/>
          </w:tcPr>
          <w:p w14:paraId="7DD442C1" w14:textId="77777777" w:rsidR="00200739" w:rsidRPr="008114CC" w:rsidRDefault="00200739" w:rsidP="006D0288">
            <w:pPr>
              <w:pStyle w:val="BodyText"/>
            </w:pPr>
            <w:r w:rsidRPr="008114CC">
              <w:t>DPO</w:t>
            </w:r>
            <w:r>
              <w:t>/GDPO</w:t>
            </w:r>
          </w:p>
        </w:tc>
        <w:tc>
          <w:tcPr>
            <w:tcW w:w="7056" w:type="dxa"/>
          </w:tcPr>
          <w:p w14:paraId="5311DA1A" w14:textId="77777777" w:rsidR="00200739" w:rsidRPr="008114CC" w:rsidRDefault="00200739" w:rsidP="006D0288">
            <w:pPr>
              <w:pStyle w:val="BodyText"/>
            </w:pPr>
            <w:r w:rsidRPr="008114CC">
              <w:t>Data Protection Officer</w:t>
            </w:r>
            <w:r>
              <w:t>/Global Data Protection Officer</w:t>
            </w:r>
          </w:p>
        </w:tc>
      </w:tr>
      <w:tr w:rsidR="00200739" w:rsidRPr="008114CC" w14:paraId="77D88C7E" w14:textId="77777777" w:rsidTr="006D0288">
        <w:tc>
          <w:tcPr>
            <w:tcW w:w="2016" w:type="dxa"/>
          </w:tcPr>
          <w:p w14:paraId="7A85C34A" w14:textId="77777777" w:rsidR="00200739" w:rsidRPr="008114CC" w:rsidRDefault="00200739" w:rsidP="006D0288">
            <w:pPr>
              <w:pStyle w:val="BodyText"/>
            </w:pPr>
            <w:r>
              <w:t>DPIA</w:t>
            </w:r>
          </w:p>
        </w:tc>
        <w:tc>
          <w:tcPr>
            <w:tcW w:w="7056" w:type="dxa"/>
          </w:tcPr>
          <w:p w14:paraId="78A1F247" w14:textId="77777777" w:rsidR="00200739" w:rsidRPr="008114CC" w:rsidRDefault="00200739" w:rsidP="006D0288">
            <w:pPr>
              <w:pStyle w:val="BodyText"/>
            </w:pPr>
            <w:r>
              <w:t>Data Protection Impacted Assessment</w:t>
            </w:r>
          </w:p>
        </w:tc>
      </w:tr>
      <w:tr w:rsidR="00200739" w:rsidRPr="008114CC" w14:paraId="05D73F4A" w14:textId="77777777" w:rsidTr="006D0288">
        <w:tc>
          <w:tcPr>
            <w:tcW w:w="2016" w:type="dxa"/>
          </w:tcPr>
          <w:p w14:paraId="4992C3F8" w14:textId="77777777" w:rsidR="00200739" w:rsidRPr="008114CC" w:rsidRDefault="00200739" w:rsidP="006D0288">
            <w:pPr>
              <w:rPr>
                <w:rFonts w:cs="Arial"/>
              </w:rPr>
            </w:pPr>
            <w:r w:rsidRPr="008114CC">
              <w:rPr>
                <w:rFonts w:cs="Arial"/>
              </w:rPr>
              <w:t>PIMS</w:t>
            </w:r>
          </w:p>
        </w:tc>
        <w:tc>
          <w:tcPr>
            <w:tcW w:w="7056" w:type="dxa"/>
          </w:tcPr>
          <w:p w14:paraId="1E74E739" w14:textId="77777777" w:rsidR="00200739" w:rsidRPr="008114CC" w:rsidRDefault="00200739" w:rsidP="006D0288">
            <w:pPr>
              <w:rPr>
                <w:rFonts w:cs="Arial"/>
              </w:rPr>
            </w:pPr>
            <w:r w:rsidRPr="008114CC">
              <w:rPr>
                <w:rFonts w:cs="Arial"/>
              </w:rPr>
              <w:t>Personal Information Management System</w:t>
            </w:r>
          </w:p>
        </w:tc>
      </w:tr>
      <w:tr w:rsidR="00200739" w:rsidRPr="008114CC" w14:paraId="7E3B2D55" w14:textId="77777777" w:rsidTr="006D0288">
        <w:tc>
          <w:tcPr>
            <w:tcW w:w="2016" w:type="dxa"/>
          </w:tcPr>
          <w:p w14:paraId="2DA3BB99" w14:textId="77777777" w:rsidR="00200739" w:rsidRPr="008114CC" w:rsidRDefault="00200739" w:rsidP="006D0288">
            <w:pPr>
              <w:rPr>
                <w:rFonts w:cs="Arial"/>
              </w:rPr>
            </w:pPr>
            <w:r w:rsidRPr="008114CC">
              <w:rPr>
                <w:rFonts w:cs="Arial"/>
              </w:rPr>
              <w:t>EU</w:t>
            </w:r>
          </w:p>
        </w:tc>
        <w:tc>
          <w:tcPr>
            <w:tcW w:w="7056" w:type="dxa"/>
          </w:tcPr>
          <w:p w14:paraId="7D609B85" w14:textId="77777777" w:rsidR="00200739" w:rsidRPr="008114CC" w:rsidRDefault="00200739" w:rsidP="006D0288">
            <w:pPr>
              <w:rPr>
                <w:rFonts w:cs="Arial"/>
              </w:rPr>
            </w:pPr>
            <w:r w:rsidRPr="008114CC">
              <w:rPr>
                <w:rFonts w:cs="Arial"/>
              </w:rPr>
              <w:t>European Union</w:t>
            </w:r>
          </w:p>
        </w:tc>
      </w:tr>
    </w:tbl>
    <w:p w14:paraId="3F4704FF" w14:textId="77777777" w:rsidR="00200739" w:rsidRDefault="00200739" w:rsidP="00200739">
      <w:pPr>
        <w:pStyle w:val="BodyText"/>
      </w:pPr>
    </w:p>
    <w:p w14:paraId="64F3800F" w14:textId="77777777" w:rsidR="007D20D5" w:rsidRPr="009D7C4E" w:rsidRDefault="00200739" w:rsidP="00200739">
      <w:pPr>
        <w:pStyle w:val="Heading2"/>
        <w:rPr>
          <w:rFonts w:cs="Arial"/>
          <w:szCs w:val="22"/>
        </w:rPr>
      </w:pPr>
      <w:bookmarkStart w:id="31" w:name="_Toc69980536"/>
      <w:bookmarkStart w:id="32" w:name="_Toc118288317"/>
      <w:r w:rsidRPr="009D7C4E">
        <w:rPr>
          <w:rFonts w:cs="Arial"/>
          <w:szCs w:val="22"/>
        </w:rPr>
        <w:lastRenderedPageBreak/>
        <w:t>Related Documents</w:t>
      </w:r>
      <w:bookmarkEnd w:id="31"/>
      <w:bookmarkEnd w:id="32"/>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7D20D5" w:rsidRPr="00A40AE6" w14:paraId="566348C1"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6C84AA98" w14:textId="77777777" w:rsidR="007D20D5" w:rsidRPr="00A40AE6" w:rsidRDefault="007D20D5"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38917FAE" w14:textId="77777777" w:rsidR="007D20D5" w:rsidRPr="00A40AE6" w:rsidRDefault="007D20D5"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40DC16CB" w14:textId="77777777" w:rsidR="007D20D5" w:rsidRPr="00A40AE6" w:rsidRDefault="007D20D5" w:rsidP="009C66DA">
            <w:pPr>
              <w:ind w:left="432"/>
              <w:rPr>
                <w:rFonts w:cs="Arial"/>
                <w:b/>
              </w:rPr>
            </w:pPr>
            <w:r w:rsidRPr="00A40AE6">
              <w:rPr>
                <w:rFonts w:cs="Arial"/>
                <w:b/>
              </w:rPr>
              <w:t>Name of documents</w:t>
            </w:r>
          </w:p>
        </w:tc>
      </w:tr>
      <w:tr w:rsidR="007D20D5" w14:paraId="2EA9E29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9EAFA3E" w14:textId="77777777" w:rsidR="007D20D5" w:rsidRDefault="007D20D5"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068EE61B" w14:textId="77777777" w:rsidR="007D20D5" w:rsidRDefault="007D20D5"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331E5B86" w14:textId="77777777" w:rsidR="007D20D5" w:rsidRDefault="007D20D5" w:rsidP="009C66DA">
            <w:pPr>
              <w:rPr>
                <w:rFonts w:cs="Arial"/>
              </w:rPr>
            </w:pPr>
            <w:r>
              <w:rPr>
                <w:rFonts w:cs="Arial"/>
              </w:rPr>
              <w:t>EU General Data Protection Regulation</w:t>
            </w:r>
          </w:p>
        </w:tc>
      </w:tr>
      <w:tr w:rsidR="007D20D5" w14:paraId="3DAEC5D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667B76B" w14:textId="77777777" w:rsidR="007D20D5" w:rsidRDefault="007D20D5"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13F44C8E" w14:textId="77777777" w:rsidR="007D20D5" w:rsidRDefault="007D20D5"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1E299E68" w14:textId="77777777" w:rsidR="007D20D5" w:rsidRDefault="007D20D5" w:rsidP="009C66DA">
            <w:pPr>
              <w:rPr>
                <w:rFonts w:cs="Arial"/>
              </w:rPr>
            </w:pPr>
            <w:r>
              <w:rPr>
                <w:rFonts w:cs="Arial"/>
              </w:rPr>
              <w:t>EU Data Protection Directive 95/46/EC</w:t>
            </w:r>
          </w:p>
        </w:tc>
      </w:tr>
      <w:tr w:rsidR="007D20D5" w14:paraId="48D7EB7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4E781B8" w14:textId="77777777" w:rsidR="007D20D5" w:rsidRDefault="007D20D5"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706862C8" w14:textId="77777777" w:rsidR="007D20D5" w:rsidRDefault="007D20D5"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6FA28512" w14:textId="77777777" w:rsidR="007D20D5" w:rsidRDefault="007D20D5"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7D20D5" w14:paraId="48AC8B8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E710BAD" w14:textId="77777777" w:rsidR="007D20D5" w:rsidRDefault="007D20D5"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71D99E59" w14:textId="77777777" w:rsidR="007D20D5" w:rsidRDefault="007D20D5"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449CA681" w14:textId="77777777" w:rsidR="007D20D5" w:rsidRDefault="007D20D5" w:rsidP="009C66DA">
            <w:pPr>
              <w:rPr>
                <w:rFonts w:cs="Arial"/>
              </w:rPr>
            </w:pPr>
            <w:r>
              <w:rPr>
                <w:rFonts w:cs="Arial"/>
              </w:rPr>
              <w:t>Act on the Protection of Personal Information, Japan.</w:t>
            </w:r>
            <w:r>
              <w:rPr>
                <w:rFonts w:cs="Arial"/>
              </w:rPr>
              <w:br/>
              <w:t>It came into force on 30 May 2017.  </w:t>
            </w:r>
          </w:p>
        </w:tc>
      </w:tr>
      <w:tr w:rsidR="007D20D5" w14:paraId="4C391CB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E71FD75" w14:textId="77777777" w:rsidR="007D20D5" w:rsidRDefault="007D20D5"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1615408E" w14:textId="77777777" w:rsidR="007D20D5" w:rsidRDefault="007D20D5"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485A5343" w14:textId="77777777" w:rsidR="007D20D5" w:rsidRDefault="007D20D5" w:rsidP="009C66DA">
            <w:pPr>
              <w:rPr>
                <w:rFonts w:cs="Arial"/>
              </w:rPr>
            </w:pPr>
            <w:r>
              <w:rPr>
                <w:rFonts w:cs="Arial"/>
              </w:rPr>
              <w:t>Personal Data Protection Act 2012, Singapore</w:t>
            </w:r>
          </w:p>
        </w:tc>
      </w:tr>
      <w:tr w:rsidR="007D20D5" w14:paraId="2A2ACD9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60F571F" w14:textId="77777777" w:rsidR="007D20D5" w:rsidRDefault="007D20D5"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558E1468" w14:textId="77777777" w:rsidR="007D20D5" w:rsidRDefault="007D20D5"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46B1B2F2" w14:textId="77777777" w:rsidR="007D20D5" w:rsidRDefault="007D20D5" w:rsidP="009C66DA">
            <w:pPr>
              <w:rPr>
                <w:rFonts w:cs="Arial"/>
              </w:rPr>
            </w:pPr>
            <w:r>
              <w:rPr>
                <w:rFonts w:cs="Arial"/>
              </w:rPr>
              <w:t xml:space="preserve">Personal Data (Privacy) Ordinance, </w:t>
            </w:r>
            <w:proofErr w:type="spellStart"/>
            <w:r>
              <w:rPr>
                <w:rFonts w:cs="Arial"/>
              </w:rPr>
              <w:t>Hongkong</w:t>
            </w:r>
            <w:proofErr w:type="spellEnd"/>
            <w:r>
              <w:rPr>
                <w:rFonts w:cs="Arial"/>
              </w:rPr>
              <w:t>, 2012</w:t>
            </w:r>
          </w:p>
        </w:tc>
      </w:tr>
      <w:tr w:rsidR="007D20D5" w14:paraId="3941A93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71E3EB3" w14:textId="77777777" w:rsidR="007D20D5" w:rsidRDefault="007D20D5"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6E5823E1" w14:textId="77777777" w:rsidR="007D20D5" w:rsidRDefault="007D20D5"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46655A2F" w14:textId="77777777" w:rsidR="007D20D5" w:rsidRDefault="007D20D5" w:rsidP="009C66DA">
            <w:pPr>
              <w:rPr>
                <w:rFonts w:cs="Arial"/>
              </w:rPr>
            </w:pPr>
            <w:r>
              <w:rPr>
                <w:rFonts w:cs="Arial"/>
              </w:rPr>
              <w:t>South Korea’s substantial Personal Information Protection Act (PIPA) was enacted on Sept. 30, 2011</w:t>
            </w:r>
          </w:p>
        </w:tc>
      </w:tr>
      <w:tr w:rsidR="007D20D5" w14:paraId="5625EFC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704C120" w14:textId="77777777" w:rsidR="007D20D5" w:rsidRDefault="007D20D5"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7C71B9EB" w14:textId="77777777" w:rsidR="007D20D5" w:rsidRDefault="007D20D5"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31F66FA6" w14:textId="77777777" w:rsidR="007D20D5" w:rsidRDefault="007D20D5" w:rsidP="009C66DA">
            <w:pPr>
              <w:rPr>
                <w:rFonts w:cs="Arial"/>
              </w:rPr>
            </w:pPr>
            <w:r>
              <w:rPr>
                <w:rFonts w:cs="Arial"/>
              </w:rPr>
              <w:t>Personal Information Protection and Electronic Documents Act, Canada 2018</w:t>
            </w:r>
          </w:p>
        </w:tc>
      </w:tr>
      <w:tr w:rsidR="007D20D5" w14:paraId="4D85244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86C48D0" w14:textId="77777777" w:rsidR="007D20D5" w:rsidRDefault="007D20D5"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3D320AC9" w14:textId="77777777" w:rsidR="007D20D5" w:rsidRDefault="007D20D5"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43D495D7" w14:textId="77777777" w:rsidR="007D20D5" w:rsidRDefault="007D20D5"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7D20D5" w14:paraId="75AD5FF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7CCD8F0" w14:textId="77777777" w:rsidR="007D20D5" w:rsidRDefault="007D20D5"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58AB244F" w14:textId="77777777" w:rsidR="007D20D5" w:rsidRDefault="007D20D5"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389CE296" w14:textId="77777777" w:rsidR="007D20D5" w:rsidRDefault="007D20D5" w:rsidP="009C66DA">
            <w:pPr>
              <w:rPr>
                <w:rFonts w:cs="Arial"/>
              </w:rPr>
            </w:pPr>
            <w:r>
              <w:rPr>
                <w:rFonts w:cs="Arial"/>
                <w:color w:val="000000"/>
                <w:shd w:val="clear" w:color="auto" w:fill="FFFFFF"/>
              </w:rPr>
              <w:t>Health Information Trust Alliance (CSF, Common Security Framework</w:t>
            </w:r>
            <w:r>
              <w:rPr>
                <w:rFonts w:cs="Arial"/>
              </w:rPr>
              <w:t>)</w:t>
            </w:r>
          </w:p>
        </w:tc>
      </w:tr>
      <w:tr w:rsidR="007D20D5" w14:paraId="4B5AE20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7469D62" w14:textId="77777777" w:rsidR="007D20D5" w:rsidRDefault="007D20D5"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0B1083C2" w14:textId="77777777" w:rsidR="007D20D5" w:rsidRDefault="007D20D5"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139B6413" w14:textId="77777777" w:rsidR="007D20D5" w:rsidRDefault="007D20D5" w:rsidP="009C66DA">
            <w:r>
              <w:t>Health Insurance Portability and Accountability Act of 1996 (HIPAA), US</w:t>
            </w:r>
          </w:p>
        </w:tc>
      </w:tr>
      <w:tr w:rsidR="007D20D5" w14:paraId="1C41E6E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89DF810" w14:textId="77777777" w:rsidR="007D20D5" w:rsidRDefault="007D20D5"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5F426FA1" w14:textId="77777777" w:rsidR="007D20D5" w:rsidRDefault="007D20D5"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12C14A09" w14:textId="77777777" w:rsidR="007D20D5" w:rsidRDefault="007D20D5" w:rsidP="009C66DA">
            <w:pPr>
              <w:rPr>
                <w:rFonts w:cs="Arial"/>
              </w:rPr>
            </w:pPr>
            <w:r>
              <w:rPr>
                <w:rFonts w:cs="Arial"/>
              </w:rPr>
              <w:t>Payment Card Industry Data Security Standard, May 2018</w:t>
            </w:r>
          </w:p>
        </w:tc>
      </w:tr>
      <w:tr w:rsidR="007D20D5" w14:paraId="209EBBE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74314A4" w14:textId="77777777" w:rsidR="007D20D5" w:rsidRDefault="007D20D5"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537B9551" w14:textId="77777777" w:rsidR="007D20D5" w:rsidRDefault="007D20D5"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471C380A" w14:textId="77777777" w:rsidR="007D20D5" w:rsidRDefault="007D20D5"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7D20D5" w:rsidRPr="00DF2F10" w14:paraId="783FD1C5" w14:textId="77777777" w:rsidTr="009C66DA">
        <w:tblPrEx>
          <w:tblLook w:val="0000" w:firstRow="0" w:lastRow="0" w:firstColumn="0" w:lastColumn="0" w:noHBand="0" w:noVBand="0"/>
        </w:tblPrEx>
        <w:tc>
          <w:tcPr>
            <w:tcW w:w="1163" w:type="dxa"/>
          </w:tcPr>
          <w:p w14:paraId="049ACEA8" w14:textId="77777777" w:rsidR="007D20D5" w:rsidRPr="00DF2F10" w:rsidRDefault="007D20D5" w:rsidP="009C66DA">
            <w:pPr>
              <w:jc w:val="center"/>
              <w:rPr>
                <w:rFonts w:cs="Arial"/>
              </w:rPr>
            </w:pPr>
            <w:r w:rsidRPr="00DF2F10">
              <w:rPr>
                <w:rFonts w:cs="Arial"/>
              </w:rPr>
              <w:t>1</w:t>
            </w:r>
            <w:r>
              <w:rPr>
                <w:rFonts w:cs="Arial"/>
              </w:rPr>
              <w:t>4</w:t>
            </w:r>
          </w:p>
        </w:tc>
        <w:tc>
          <w:tcPr>
            <w:tcW w:w="2268" w:type="dxa"/>
          </w:tcPr>
          <w:p w14:paraId="41F6B8AE" w14:textId="77777777" w:rsidR="007D20D5" w:rsidRPr="00DF2F10" w:rsidRDefault="007D20D5" w:rsidP="009C66DA">
            <w:pPr>
              <w:rPr>
                <w:rFonts w:cs="Arial"/>
              </w:rPr>
            </w:pPr>
            <w:r w:rsidRPr="00DF2F10">
              <w:rPr>
                <w:rFonts w:cs="Arial"/>
              </w:rPr>
              <w:t>PDPL, UAR </w:t>
            </w:r>
          </w:p>
        </w:tc>
        <w:tc>
          <w:tcPr>
            <w:tcW w:w="5954" w:type="dxa"/>
          </w:tcPr>
          <w:p w14:paraId="3117C726" w14:textId="77777777" w:rsidR="007D20D5" w:rsidRPr="00DF2F10" w:rsidRDefault="007D20D5" w:rsidP="009C66DA">
            <w:pPr>
              <w:rPr>
                <w:rFonts w:cs="Arial"/>
              </w:rPr>
            </w:pPr>
            <w:r w:rsidRPr="00DF2F10">
              <w:rPr>
                <w:rFonts w:cs="Arial"/>
              </w:rPr>
              <w:t>Decree-Law No. 45 of 2021</w:t>
            </w:r>
          </w:p>
        </w:tc>
      </w:tr>
      <w:tr w:rsidR="007D20D5" w:rsidRPr="00DF2F10" w14:paraId="5A5EA94F" w14:textId="77777777" w:rsidTr="009C66DA">
        <w:tblPrEx>
          <w:tblLook w:val="0000" w:firstRow="0" w:lastRow="0" w:firstColumn="0" w:lastColumn="0" w:noHBand="0" w:noVBand="0"/>
        </w:tblPrEx>
        <w:tc>
          <w:tcPr>
            <w:tcW w:w="1163" w:type="dxa"/>
          </w:tcPr>
          <w:p w14:paraId="435F7205" w14:textId="77777777" w:rsidR="007D20D5" w:rsidRPr="00DF2F10" w:rsidRDefault="007D20D5" w:rsidP="009C66DA">
            <w:pPr>
              <w:jc w:val="center"/>
              <w:rPr>
                <w:rFonts w:cs="Arial"/>
              </w:rPr>
            </w:pPr>
            <w:r>
              <w:rPr>
                <w:rFonts w:cs="Arial"/>
              </w:rPr>
              <w:t>15</w:t>
            </w:r>
          </w:p>
        </w:tc>
        <w:tc>
          <w:tcPr>
            <w:tcW w:w="2268" w:type="dxa"/>
          </w:tcPr>
          <w:p w14:paraId="3FA6029B" w14:textId="77777777" w:rsidR="007D20D5" w:rsidRPr="00167C48" w:rsidRDefault="007D20D5" w:rsidP="009C66DA">
            <w:pPr>
              <w:rPr>
                <w:rFonts w:cs="Arial"/>
              </w:rPr>
            </w:pPr>
            <w:r>
              <w:rPr>
                <w:rFonts w:cs="Arial"/>
              </w:rPr>
              <w:t>DPA Philippines</w:t>
            </w:r>
          </w:p>
        </w:tc>
        <w:tc>
          <w:tcPr>
            <w:tcW w:w="5954" w:type="dxa"/>
          </w:tcPr>
          <w:p w14:paraId="5EBED783" w14:textId="77777777" w:rsidR="007D20D5" w:rsidRPr="00DF2F10" w:rsidRDefault="007D20D5"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7D20D5" w:rsidRPr="00EB4879" w14:paraId="512A415C"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7C922B0A" w14:textId="77777777" w:rsidR="007D20D5" w:rsidRPr="002A4856" w:rsidRDefault="007D20D5" w:rsidP="009C66DA">
            <w:pPr>
              <w:jc w:val="center"/>
              <w:rPr>
                <w:rFonts w:cs="Arial"/>
              </w:rPr>
            </w:pPr>
            <w:r w:rsidRPr="002A4856">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0E8A1BB1" w14:textId="77777777" w:rsidR="007D20D5" w:rsidRPr="002A4856" w:rsidRDefault="007D20D5" w:rsidP="009C66DA">
            <w:pPr>
              <w:rPr>
                <w:rFonts w:cs="Arial"/>
              </w:rPr>
            </w:pPr>
            <w:r w:rsidRPr="002A4856">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63550EEB" w14:textId="77777777" w:rsidR="007D20D5" w:rsidRPr="002A4856" w:rsidRDefault="007D20D5" w:rsidP="009C66DA">
            <w:pPr>
              <w:rPr>
                <w:rFonts w:cs="Arial"/>
                <w:color w:val="000000"/>
              </w:rPr>
            </w:pPr>
            <w:r w:rsidRPr="002A4856">
              <w:rPr>
                <w:rFonts w:cs="Arial"/>
                <w:color w:val="000000"/>
                <w:lang w:val="en-GB"/>
              </w:rPr>
              <w:t>Personal Information Protection Law of the People’s Republic of China and related laws and regulations</w:t>
            </w:r>
          </w:p>
        </w:tc>
      </w:tr>
      <w:tr w:rsidR="007D20D5" w:rsidRPr="00381625" w14:paraId="748AA78F"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5D1A4727" w14:textId="77777777" w:rsidR="007D20D5" w:rsidRDefault="007D20D5"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5428901D" w14:textId="77777777" w:rsidR="007D20D5" w:rsidRPr="00381625" w:rsidRDefault="007D20D5"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332D866C" w14:textId="77777777" w:rsidR="007D20D5" w:rsidRPr="00381625" w:rsidRDefault="007D20D5" w:rsidP="009C66DA">
            <w:pPr>
              <w:rPr>
                <w:rFonts w:cs="Arial"/>
              </w:rPr>
            </w:pPr>
            <w:r>
              <w:rPr>
                <w:rFonts w:cs="Arial"/>
              </w:rPr>
              <w:t>Personal Data Protection Act 2010, Malaysia</w:t>
            </w:r>
          </w:p>
        </w:tc>
      </w:tr>
      <w:tr w:rsidR="007D20D5" w14:paraId="5B54AEB7" w14:textId="77777777" w:rsidTr="009C66DA">
        <w:tc>
          <w:tcPr>
            <w:tcW w:w="1163" w:type="dxa"/>
            <w:tcBorders>
              <w:top w:val="dotted" w:sz="4" w:space="0" w:color="auto"/>
              <w:left w:val="dotted" w:sz="4" w:space="0" w:color="auto"/>
              <w:bottom w:val="dotted" w:sz="4" w:space="0" w:color="auto"/>
              <w:right w:val="dotted" w:sz="4" w:space="0" w:color="auto"/>
            </w:tcBorders>
          </w:tcPr>
          <w:p w14:paraId="064B2059" w14:textId="77777777" w:rsidR="007D20D5" w:rsidRDefault="007D20D5"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0B24B281" w14:textId="77777777" w:rsidR="007D20D5" w:rsidRDefault="007D20D5"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19E0ACDF" w14:textId="77777777" w:rsidR="007D20D5" w:rsidRDefault="007D20D5" w:rsidP="009C66DA">
            <w:pPr>
              <w:rPr>
                <w:rFonts w:cs="Arial"/>
              </w:rPr>
            </w:pPr>
            <w:r w:rsidRPr="003A3362">
              <w:rPr>
                <w:rFonts w:cs="Arial"/>
              </w:rPr>
              <w:t>Trusted information security assessment exchange</w:t>
            </w:r>
          </w:p>
        </w:tc>
      </w:tr>
      <w:tr w:rsidR="007D20D5" w14:paraId="7E51DF6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ABF9C2A" w14:textId="77777777" w:rsidR="007D20D5" w:rsidRDefault="007D20D5"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03D6D080" w14:textId="77777777" w:rsidR="007D20D5" w:rsidRDefault="007D20D5"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63097EC9" w14:textId="77777777" w:rsidR="007D20D5" w:rsidRDefault="007D20D5" w:rsidP="009C66DA">
            <w:pPr>
              <w:rPr>
                <w:rFonts w:cs="Arial"/>
              </w:rPr>
            </w:pPr>
            <w:r>
              <w:rPr>
                <w:rFonts w:cs="Arial"/>
              </w:rPr>
              <w:t>British Standard Personal Information Management System </w:t>
            </w:r>
          </w:p>
        </w:tc>
      </w:tr>
      <w:tr w:rsidR="007D20D5" w14:paraId="046FCC6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5F35778" w14:textId="77777777" w:rsidR="007D20D5" w:rsidRDefault="007D20D5"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036F5829" w14:textId="77777777" w:rsidR="007D20D5" w:rsidRDefault="007D20D5"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6195CDE5" w14:textId="77777777" w:rsidR="007D20D5" w:rsidRDefault="007D20D5" w:rsidP="009C66DA">
            <w:pPr>
              <w:rPr>
                <w:rFonts w:cs="Arial"/>
                <w:color w:val="000000"/>
              </w:rPr>
            </w:pPr>
            <w:r>
              <w:rPr>
                <w:rFonts w:cs="Arial"/>
                <w:color w:val="000000"/>
              </w:rPr>
              <w:t>Vietnamese laws on Privacy:</w:t>
            </w:r>
          </w:p>
          <w:p w14:paraId="4B08C273" w14:textId="77777777" w:rsidR="007D20D5" w:rsidRDefault="007D20D5" w:rsidP="009C66DA">
            <w:pPr>
              <w:rPr>
                <w:rFonts w:cs="Arial"/>
                <w:color w:val="000000"/>
              </w:rPr>
            </w:pPr>
            <w:r>
              <w:rPr>
                <w:rFonts w:cs="Arial"/>
                <w:color w:val="000000"/>
              </w:rPr>
              <w:t>- Article 21 of the 2013 Constitution</w:t>
            </w:r>
          </w:p>
          <w:p w14:paraId="2A18A413" w14:textId="77777777" w:rsidR="007D20D5" w:rsidRDefault="007D20D5" w:rsidP="009C66DA">
            <w:pPr>
              <w:rPr>
                <w:rFonts w:cs="Arial"/>
                <w:color w:val="000000"/>
              </w:rPr>
            </w:pPr>
            <w:r>
              <w:rPr>
                <w:rFonts w:cs="Arial"/>
                <w:color w:val="000000"/>
              </w:rPr>
              <w:t>- Article 38 of the Civil Code 2015</w:t>
            </w:r>
          </w:p>
          <w:p w14:paraId="0E5B2EC5" w14:textId="77777777" w:rsidR="007D20D5" w:rsidRDefault="007D20D5" w:rsidP="009C66DA">
            <w:pPr>
              <w:rPr>
                <w:rFonts w:cs="Arial"/>
                <w:color w:val="000000"/>
              </w:rPr>
            </w:pPr>
            <w:r>
              <w:rPr>
                <w:rFonts w:cs="Arial"/>
                <w:color w:val="000000"/>
              </w:rPr>
              <w:t>- Article 125 of the Penal Code</w:t>
            </w:r>
          </w:p>
          <w:p w14:paraId="5B1DE214" w14:textId="77777777" w:rsidR="007D20D5" w:rsidRDefault="007D20D5" w:rsidP="009C66DA">
            <w:pPr>
              <w:rPr>
                <w:rFonts w:cs="Arial"/>
                <w:color w:val="000000"/>
              </w:rPr>
            </w:pPr>
            <w:r>
              <w:rPr>
                <w:rFonts w:cs="Arial"/>
                <w:color w:val="000000"/>
              </w:rPr>
              <w:t>- Clause 2 of Article 19 of the Labor Code</w:t>
            </w:r>
          </w:p>
          <w:p w14:paraId="2477010B" w14:textId="77777777" w:rsidR="007D20D5" w:rsidRDefault="007D20D5"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7D20D5" w14:paraId="2BA9759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0024BBC" w14:textId="77777777" w:rsidR="007D20D5" w:rsidRDefault="007D20D5"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032058D9" w14:textId="77777777" w:rsidR="007D20D5" w:rsidRDefault="007D20D5"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0AFD1F61" w14:textId="77777777" w:rsidR="007D20D5" w:rsidRDefault="007D20D5" w:rsidP="009C66DA">
            <w:pPr>
              <w:rPr>
                <w:rFonts w:cs="Arial"/>
                <w:color w:val="000000"/>
              </w:rPr>
            </w:pPr>
            <w:r>
              <w:rPr>
                <w:rFonts w:cs="Arial"/>
                <w:color w:val="000000"/>
              </w:rPr>
              <w:t>PDP_ Handbook_Version_V3.3</w:t>
            </w:r>
          </w:p>
        </w:tc>
      </w:tr>
      <w:tr w:rsidR="007D20D5" w:rsidRPr="002418B3" w14:paraId="2939CE66" w14:textId="77777777" w:rsidTr="007D20D5">
        <w:tc>
          <w:tcPr>
            <w:tcW w:w="1163" w:type="dxa"/>
            <w:tcBorders>
              <w:top w:val="dotted" w:sz="4" w:space="0" w:color="auto"/>
              <w:left w:val="dotted" w:sz="4" w:space="0" w:color="auto"/>
              <w:bottom w:val="dotted" w:sz="4" w:space="0" w:color="auto"/>
              <w:right w:val="dotted" w:sz="4" w:space="0" w:color="auto"/>
            </w:tcBorders>
            <w:hideMark/>
          </w:tcPr>
          <w:p w14:paraId="3AA3C126" w14:textId="608A1776" w:rsidR="007D20D5" w:rsidRPr="002418B3" w:rsidRDefault="007D20D5" w:rsidP="009C66DA">
            <w:pPr>
              <w:jc w:val="center"/>
              <w:rPr>
                <w:rFonts w:cs="Arial"/>
              </w:rPr>
            </w:pPr>
            <w:r>
              <w:rPr>
                <w:rFonts w:cs="Arial"/>
              </w:rPr>
              <w:t>22</w:t>
            </w:r>
          </w:p>
        </w:tc>
        <w:tc>
          <w:tcPr>
            <w:tcW w:w="2268" w:type="dxa"/>
            <w:tcBorders>
              <w:top w:val="dotted" w:sz="4" w:space="0" w:color="auto"/>
              <w:left w:val="dotted" w:sz="4" w:space="0" w:color="auto"/>
              <w:bottom w:val="dotted" w:sz="4" w:space="0" w:color="auto"/>
              <w:right w:val="dotted" w:sz="4" w:space="0" w:color="auto"/>
            </w:tcBorders>
            <w:hideMark/>
          </w:tcPr>
          <w:p w14:paraId="3735AC17" w14:textId="77777777" w:rsidR="007D20D5" w:rsidRPr="007D20D5" w:rsidRDefault="007D20D5" w:rsidP="009C66DA">
            <w:pPr>
              <w:rPr>
                <w:rFonts w:cs="Arial"/>
              </w:rPr>
            </w:pPr>
            <w:r w:rsidRPr="007D20D5">
              <w:rPr>
                <w:rFonts w:cs="Arial"/>
              </w:rPr>
              <w:t>01e-DM/SG/HDCV/FSOFT</w:t>
            </w:r>
          </w:p>
        </w:tc>
        <w:tc>
          <w:tcPr>
            <w:tcW w:w="5954" w:type="dxa"/>
            <w:tcBorders>
              <w:top w:val="dotted" w:sz="4" w:space="0" w:color="auto"/>
              <w:left w:val="dotted" w:sz="4" w:space="0" w:color="auto"/>
              <w:bottom w:val="dotted" w:sz="4" w:space="0" w:color="auto"/>
              <w:right w:val="dotted" w:sz="4" w:space="0" w:color="auto"/>
            </w:tcBorders>
            <w:hideMark/>
          </w:tcPr>
          <w:p w14:paraId="2117CDAB" w14:textId="256357FA" w:rsidR="007D20D5" w:rsidRPr="002418B3" w:rsidRDefault="007D20D5" w:rsidP="009C66DA">
            <w:pPr>
              <w:rPr>
                <w:rFonts w:cs="Arial"/>
                <w:color w:val="000000"/>
              </w:rPr>
            </w:pPr>
            <w:bookmarkStart w:id="33" w:name="_GoBack"/>
            <w:bookmarkEnd w:id="33"/>
            <w:r w:rsidRPr="00FB3FA2">
              <w:rPr>
                <w:rFonts w:cs="Arial"/>
                <w:color w:val="000000"/>
              </w:rPr>
              <w:t>Record_authorities_Key-Supplier_V1.</w:t>
            </w:r>
            <w:r>
              <w:rPr>
                <w:rFonts w:cs="Arial"/>
                <w:color w:val="000000"/>
              </w:rPr>
              <w:t>2</w:t>
            </w:r>
          </w:p>
        </w:tc>
      </w:tr>
    </w:tbl>
    <w:p w14:paraId="229792DD" w14:textId="039AA504" w:rsidR="00200739" w:rsidRPr="009D7C4E" w:rsidRDefault="00200739" w:rsidP="007D20D5">
      <w:pPr>
        <w:rPr>
          <w:rFonts w:cs="Arial"/>
          <w:szCs w:val="22"/>
        </w:rPr>
      </w:pPr>
    </w:p>
    <w:p w14:paraId="2EC388B0" w14:textId="77777777" w:rsidR="007D20D5" w:rsidRDefault="007D20D5">
      <w:pPr>
        <w:spacing w:before="0" w:line="240" w:lineRule="auto"/>
        <w:rPr>
          <w:b/>
          <w:i/>
          <w:spacing w:val="-10"/>
          <w:kern w:val="28"/>
          <w:sz w:val="22"/>
        </w:rPr>
      </w:pPr>
      <w:bookmarkStart w:id="34" w:name="_Toc116390343"/>
      <w:bookmarkStart w:id="35" w:name="_Toc117496759"/>
      <w:bookmarkStart w:id="36" w:name="_Toc117583932"/>
      <w:bookmarkStart w:id="37" w:name="_Toc117593905"/>
      <w:r>
        <w:br w:type="page"/>
      </w:r>
    </w:p>
    <w:p w14:paraId="1C4E3D62" w14:textId="43445026" w:rsidR="007D20D5" w:rsidRDefault="007D20D5" w:rsidP="007D20D5">
      <w:pPr>
        <w:pStyle w:val="Heading2"/>
        <w:numPr>
          <w:ilvl w:val="0"/>
          <w:numId w:val="0"/>
        </w:numPr>
        <w:ind w:left="576" w:hanging="576"/>
      </w:pPr>
      <w:bookmarkStart w:id="38" w:name="_Toc118288318"/>
      <w:r>
        <w:lastRenderedPageBreak/>
        <w:t>3.3</w:t>
      </w:r>
      <w:r>
        <w:tab/>
        <w:t>Data Protection Law, Vietnam, Overview</w:t>
      </w:r>
      <w:bookmarkEnd w:id="34"/>
      <w:bookmarkEnd w:id="35"/>
      <w:bookmarkEnd w:id="36"/>
      <w:bookmarkEnd w:id="37"/>
      <w:bookmarkEnd w:id="38"/>
    </w:p>
    <w:p w14:paraId="00959B84" w14:textId="77777777" w:rsidR="007D20D5" w:rsidRPr="00784236" w:rsidRDefault="007D20D5" w:rsidP="007D20D5">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067BD24D" w14:textId="5BAAC675" w:rsidR="007D20D5" w:rsidRPr="00784236" w:rsidRDefault="007D20D5" w:rsidP="007D20D5">
      <w:pPr>
        <w:pStyle w:val="BodyText"/>
        <w:jc w:val="both"/>
      </w:pPr>
      <w:r w:rsidRPr="00784236">
        <w:rPr>
          <w:rFonts w:hint="cs"/>
        </w:rPr>
        <w:t xml:space="preserve">Regarding personal </w:t>
      </w:r>
      <w:r w:rsidR="00EB4F88">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573F820E" w14:textId="77777777" w:rsidR="007D20D5" w:rsidRPr="00784236" w:rsidRDefault="007D20D5" w:rsidP="007D20D5">
      <w:pPr>
        <w:pStyle w:val="BodyText"/>
        <w:numPr>
          <w:ilvl w:val="0"/>
          <w:numId w:val="49"/>
        </w:numPr>
        <w:spacing w:after="0"/>
        <w:jc w:val="both"/>
      </w:pPr>
      <w:r w:rsidRPr="00784236">
        <w:rPr>
          <w:rFonts w:hint="cs"/>
          <w:b/>
          <w:bCs/>
        </w:rPr>
        <w:t>Criminal Code</w:t>
      </w:r>
      <w:r w:rsidRPr="00784236">
        <w:rPr>
          <w:rFonts w:hint="cs"/>
        </w:rPr>
        <w:t xml:space="preserve"> No. 100/2015/QH13, passed by the National Assembly on 27 November 2015</w:t>
      </w:r>
    </w:p>
    <w:p w14:paraId="3A6D2D42" w14:textId="77777777" w:rsidR="007D20D5" w:rsidRPr="00784236" w:rsidRDefault="007D20D5" w:rsidP="007D20D5">
      <w:pPr>
        <w:pStyle w:val="BodyText"/>
        <w:numPr>
          <w:ilvl w:val="0"/>
          <w:numId w:val="49"/>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096E1339" w14:textId="77777777" w:rsidR="007D20D5" w:rsidRPr="00784236" w:rsidRDefault="007D20D5" w:rsidP="007D20D5">
      <w:pPr>
        <w:pStyle w:val="BodyText"/>
        <w:numPr>
          <w:ilvl w:val="0"/>
          <w:numId w:val="49"/>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5EE427CE" w14:textId="77777777" w:rsidR="007D20D5" w:rsidRPr="00784236" w:rsidRDefault="007D20D5" w:rsidP="007D20D5">
      <w:pPr>
        <w:pStyle w:val="BodyText"/>
        <w:numPr>
          <w:ilvl w:val="0"/>
          <w:numId w:val="49"/>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71D7E938" w14:textId="77777777" w:rsidR="007D20D5" w:rsidRPr="00784236" w:rsidRDefault="007D20D5" w:rsidP="007D20D5">
      <w:pPr>
        <w:pStyle w:val="BodyText"/>
        <w:numPr>
          <w:ilvl w:val="0"/>
          <w:numId w:val="49"/>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031AEBF4" w14:textId="77777777" w:rsidR="007D20D5" w:rsidRPr="00784236" w:rsidRDefault="007D20D5" w:rsidP="007D20D5">
      <w:pPr>
        <w:pStyle w:val="BodyText"/>
        <w:numPr>
          <w:ilvl w:val="0"/>
          <w:numId w:val="49"/>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3ADAA49E" w14:textId="77777777" w:rsidR="007D20D5" w:rsidRPr="00784236" w:rsidRDefault="007D20D5" w:rsidP="007D20D5">
      <w:pPr>
        <w:pStyle w:val="BodyText"/>
        <w:numPr>
          <w:ilvl w:val="0"/>
          <w:numId w:val="49"/>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70EA04FC" w14:textId="77777777" w:rsidR="007D20D5" w:rsidRPr="00784236" w:rsidRDefault="007D20D5" w:rsidP="007D20D5">
      <w:pPr>
        <w:pStyle w:val="BodyText"/>
        <w:numPr>
          <w:ilvl w:val="0"/>
          <w:numId w:val="49"/>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5CCE223E" w14:textId="77777777" w:rsidR="007D20D5" w:rsidRPr="00784236" w:rsidRDefault="007D20D5" w:rsidP="007D20D5">
      <w:pPr>
        <w:pStyle w:val="BodyText"/>
        <w:numPr>
          <w:ilvl w:val="0"/>
          <w:numId w:val="49"/>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6B049789" w14:textId="77777777" w:rsidR="007D20D5" w:rsidRPr="00784236" w:rsidRDefault="007D20D5" w:rsidP="007D20D5">
      <w:pPr>
        <w:pStyle w:val="BodyText"/>
        <w:numPr>
          <w:ilvl w:val="0"/>
          <w:numId w:val="49"/>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2A365C01" w14:textId="77777777" w:rsidR="007D20D5" w:rsidRPr="00784236" w:rsidRDefault="007D20D5" w:rsidP="007D20D5">
      <w:pPr>
        <w:pStyle w:val="BodyText"/>
        <w:numPr>
          <w:ilvl w:val="0"/>
          <w:numId w:val="49"/>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0274684F" w14:textId="77777777" w:rsidR="007D20D5" w:rsidRPr="00784236" w:rsidRDefault="007D20D5" w:rsidP="007D20D5">
      <w:pPr>
        <w:pStyle w:val="BodyText"/>
        <w:numPr>
          <w:ilvl w:val="0"/>
          <w:numId w:val="49"/>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46D25F4A" w14:textId="77777777" w:rsidR="007D20D5" w:rsidRPr="00784236" w:rsidRDefault="007D20D5" w:rsidP="007D20D5">
      <w:pPr>
        <w:pStyle w:val="BodyText"/>
        <w:numPr>
          <w:ilvl w:val="0"/>
          <w:numId w:val="49"/>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0F9E6365" w14:textId="77777777" w:rsidR="007D20D5" w:rsidRPr="00784236" w:rsidRDefault="007D20D5" w:rsidP="007D20D5">
      <w:pPr>
        <w:pStyle w:val="BodyText"/>
        <w:numPr>
          <w:ilvl w:val="0"/>
          <w:numId w:val="49"/>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4A57C513" w14:textId="77777777" w:rsidR="007D20D5" w:rsidRPr="00784236" w:rsidRDefault="007D20D5" w:rsidP="007D20D5">
      <w:pPr>
        <w:pStyle w:val="BodyText"/>
        <w:numPr>
          <w:ilvl w:val="0"/>
          <w:numId w:val="49"/>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24304A43" w14:textId="77777777" w:rsidR="007D20D5" w:rsidRPr="00784236" w:rsidRDefault="007D20D5" w:rsidP="007D20D5">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6B9DB671" w14:textId="77777777" w:rsidR="007D20D5" w:rsidRPr="00784236" w:rsidRDefault="007D20D5" w:rsidP="007D20D5">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1C6CFF8B" w14:textId="77777777" w:rsidR="007D20D5" w:rsidRPr="00784236" w:rsidRDefault="007D20D5" w:rsidP="007D20D5">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1C943FF4" w14:textId="77777777" w:rsidR="007D20D5" w:rsidRPr="00784236" w:rsidRDefault="007D20D5" w:rsidP="007D20D5">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7E663FEA" w14:textId="77777777" w:rsidR="007D20D5" w:rsidRPr="00784236" w:rsidRDefault="007D20D5" w:rsidP="007D20D5">
      <w:pPr>
        <w:pStyle w:val="BodyText"/>
      </w:pPr>
    </w:p>
    <w:p w14:paraId="33AEF0C4" w14:textId="77777777" w:rsidR="007D20D5" w:rsidRPr="00784236" w:rsidRDefault="007D20D5" w:rsidP="007D20D5">
      <w:pPr>
        <w:pStyle w:val="BodyText"/>
      </w:pPr>
    </w:p>
    <w:p w14:paraId="768B8701" w14:textId="77777777" w:rsidR="00200739" w:rsidRPr="0064231A" w:rsidRDefault="00200739" w:rsidP="00200739">
      <w:pPr>
        <w:rPr>
          <w:rFonts w:cs="Arial"/>
        </w:rPr>
      </w:pPr>
    </w:p>
    <w:sectPr w:rsidR="00200739" w:rsidRPr="0064231A" w:rsidSect="008C5E0F">
      <w:headerReference w:type="default" r:id="rId11"/>
      <w:footerReference w:type="default" r:id="rId12"/>
      <w:pgSz w:w="11909" w:h="16834" w:code="9"/>
      <w:pgMar w:top="1260" w:right="1440" w:bottom="993" w:left="1440" w:header="426" w:footer="35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54FC0" w14:textId="77777777" w:rsidR="00856905" w:rsidRDefault="00856905" w:rsidP="00892FBC">
      <w:r>
        <w:separator/>
      </w:r>
    </w:p>
  </w:endnote>
  <w:endnote w:type="continuationSeparator" w:id="0">
    <w:p w14:paraId="6F358C3F" w14:textId="77777777" w:rsidR="00856905" w:rsidRDefault="00856905"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56EA" w14:textId="33E4F629" w:rsidR="0066353E" w:rsidRPr="00AC64A4" w:rsidRDefault="0064231A" w:rsidP="0064231A">
    <w:pPr>
      <w:pStyle w:val="Footer"/>
      <w:pBdr>
        <w:top w:val="single" w:sz="4" w:space="1" w:color="auto"/>
      </w:pBdr>
      <w:rPr>
        <w:noProof/>
        <w:color w:val="808080" w:themeColor="background1" w:themeShade="80"/>
        <w:sz w:val="18"/>
      </w:rPr>
    </w:pPr>
    <w:r w:rsidRPr="00AC64A4">
      <w:rPr>
        <w:rFonts w:cs="Arial"/>
        <w:color w:val="808080" w:themeColor="background1" w:themeShade="80"/>
        <w:sz w:val="18"/>
        <w:lang w:val="de-DE"/>
      </w:rPr>
      <w:t>0</w:t>
    </w:r>
    <w:r w:rsidR="000F709B" w:rsidRPr="00AC64A4">
      <w:rPr>
        <w:rFonts w:cs="Arial"/>
        <w:color w:val="808080" w:themeColor="background1" w:themeShade="80"/>
        <w:sz w:val="18"/>
        <w:lang w:val="de-DE"/>
      </w:rPr>
      <w:t>3</w:t>
    </w:r>
    <w:r w:rsidRPr="00AC64A4">
      <w:rPr>
        <w:rFonts w:cs="Arial"/>
        <w:color w:val="808080" w:themeColor="background1" w:themeShade="80"/>
        <w:sz w:val="18"/>
        <w:lang w:val="de-DE"/>
      </w:rPr>
      <w:t>e-HD/</w:t>
    </w:r>
    <w:r w:rsidR="000F709B" w:rsidRPr="00AC64A4">
      <w:rPr>
        <w:rFonts w:cs="Arial"/>
        <w:color w:val="808080" w:themeColor="background1" w:themeShade="80"/>
        <w:sz w:val="18"/>
        <w:lang w:val="de-DE"/>
      </w:rPr>
      <w:t>SG</w:t>
    </w:r>
    <w:r w:rsidRPr="00AC64A4">
      <w:rPr>
        <w:rFonts w:cs="Arial"/>
        <w:color w:val="808080" w:themeColor="background1" w:themeShade="80"/>
        <w:sz w:val="18"/>
        <w:lang w:val="de-DE"/>
      </w:rPr>
      <w:t>/HDCV/FSOFT</w:t>
    </w:r>
    <w:r w:rsidR="0066353E" w:rsidRPr="00AC64A4">
      <w:rPr>
        <w:noProof/>
        <w:color w:val="808080" w:themeColor="background1" w:themeShade="80"/>
        <w:sz w:val="18"/>
      </w:rPr>
      <w:tab/>
      <w:t>Internal use</w:t>
    </w:r>
    <w:r w:rsidR="0066353E" w:rsidRPr="00AC64A4">
      <w:rPr>
        <w:noProof/>
        <w:color w:val="808080" w:themeColor="background1" w:themeShade="80"/>
        <w:sz w:val="18"/>
      </w:rPr>
      <w:tab/>
    </w:r>
    <w:r w:rsidR="0066353E" w:rsidRPr="00AC64A4">
      <w:rPr>
        <w:noProof/>
        <w:color w:val="808080" w:themeColor="background1" w:themeShade="80"/>
        <w:sz w:val="18"/>
      </w:rPr>
      <w:fldChar w:fldCharType="begin"/>
    </w:r>
    <w:r w:rsidR="0066353E" w:rsidRPr="00AC64A4">
      <w:rPr>
        <w:noProof/>
        <w:color w:val="808080" w:themeColor="background1" w:themeShade="80"/>
        <w:sz w:val="18"/>
      </w:rPr>
      <w:instrText xml:space="preserve"> PAGE </w:instrText>
    </w:r>
    <w:r w:rsidR="0066353E" w:rsidRPr="00AC64A4">
      <w:rPr>
        <w:noProof/>
        <w:color w:val="808080" w:themeColor="background1" w:themeShade="80"/>
        <w:sz w:val="18"/>
      </w:rPr>
      <w:fldChar w:fldCharType="separate"/>
    </w:r>
    <w:r w:rsidR="002A4856">
      <w:rPr>
        <w:noProof/>
        <w:color w:val="808080" w:themeColor="background1" w:themeShade="80"/>
        <w:sz w:val="18"/>
      </w:rPr>
      <w:t>17</w:t>
    </w:r>
    <w:r w:rsidR="0066353E" w:rsidRPr="00AC64A4">
      <w:rPr>
        <w:noProof/>
        <w:color w:val="808080" w:themeColor="background1" w:themeShade="80"/>
        <w:sz w:val="18"/>
      </w:rPr>
      <w:fldChar w:fldCharType="end"/>
    </w:r>
    <w:r w:rsidR="0066353E" w:rsidRPr="00AC64A4">
      <w:rPr>
        <w:noProof/>
        <w:color w:val="808080" w:themeColor="background1" w:themeShade="80"/>
        <w:sz w:val="18"/>
      </w:rPr>
      <w:t>/</w:t>
    </w:r>
    <w:r w:rsidR="0066353E" w:rsidRPr="00AC64A4">
      <w:rPr>
        <w:noProof/>
        <w:color w:val="808080" w:themeColor="background1" w:themeShade="80"/>
        <w:sz w:val="18"/>
      </w:rPr>
      <w:fldChar w:fldCharType="begin"/>
    </w:r>
    <w:r w:rsidR="0066353E" w:rsidRPr="00AC64A4">
      <w:rPr>
        <w:noProof/>
        <w:color w:val="808080" w:themeColor="background1" w:themeShade="80"/>
        <w:sz w:val="18"/>
      </w:rPr>
      <w:instrText xml:space="preserve"> NUMPAGES </w:instrText>
    </w:r>
    <w:r w:rsidR="0066353E" w:rsidRPr="00AC64A4">
      <w:rPr>
        <w:noProof/>
        <w:color w:val="808080" w:themeColor="background1" w:themeShade="80"/>
        <w:sz w:val="18"/>
      </w:rPr>
      <w:fldChar w:fldCharType="separate"/>
    </w:r>
    <w:r w:rsidR="002A4856">
      <w:rPr>
        <w:noProof/>
        <w:color w:val="808080" w:themeColor="background1" w:themeShade="80"/>
        <w:sz w:val="18"/>
      </w:rPr>
      <w:t>17</w:t>
    </w:r>
    <w:r w:rsidR="0066353E" w:rsidRPr="00AC64A4">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01F4F" w14:textId="77777777" w:rsidR="00856905" w:rsidRDefault="00856905" w:rsidP="00892FBC">
      <w:r>
        <w:separator/>
      </w:r>
    </w:p>
  </w:footnote>
  <w:footnote w:type="continuationSeparator" w:id="0">
    <w:p w14:paraId="183A5B0A" w14:textId="77777777" w:rsidR="00856905" w:rsidRDefault="00856905"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C41F1" w14:textId="0ACB52AD" w:rsidR="0066353E" w:rsidRPr="00200739" w:rsidRDefault="0066353E" w:rsidP="00200739">
    <w:pPr>
      <w:pStyle w:val="Header"/>
      <w:pBdr>
        <w:bottom w:val="single" w:sz="4" w:space="1" w:color="auto"/>
      </w:pBdr>
      <w:tabs>
        <w:tab w:val="clear" w:pos="4320"/>
        <w:tab w:val="clear" w:pos="8640"/>
        <w:tab w:val="right" w:pos="8931"/>
      </w:tabs>
      <w:rPr>
        <w:rFonts w:cs="Tahoma"/>
        <w:color w:val="808080"/>
        <w:sz w:val="18"/>
        <w:szCs w:val="16"/>
      </w:rPr>
    </w:pPr>
    <w:proofErr w:type="spellStart"/>
    <w:r w:rsidRPr="00200739">
      <w:rPr>
        <w:rFonts w:cs="Tahoma"/>
        <w:color w:val="808080"/>
        <w:sz w:val="18"/>
        <w:szCs w:val="16"/>
      </w:rPr>
      <w:t>Guideline</w:t>
    </w:r>
    <w:r w:rsidR="00200739" w:rsidRPr="00200739">
      <w:rPr>
        <w:rFonts w:cs="Tahoma"/>
        <w:color w:val="808080"/>
        <w:sz w:val="18"/>
        <w:szCs w:val="16"/>
      </w:rPr>
      <w:t>_</w:t>
    </w:r>
    <w:r w:rsidR="00B06BD8" w:rsidRPr="00200739">
      <w:rPr>
        <w:rFonts w:cs="Tahoma"/>
        <w:color w:val="808080"/>
        <w:sz w:val="18"/>
        <w:szCs w:val="16"/>
      </w:rPr>
      <w:t>Complaints</w:t>
    </w:r>
    <w:proofErr w:type="spellEnd"/>
    <w:r w:rsidR="00B06BD8" w:rsidRPr="00200739">
      <w:rPr>
        <w:rFonts w:cs="Tahoma"/>
        <w:color w:val="808080"/>
        <w:sz w:val="18"/>
        <w:szCs w:val="16"/>
      </w:rPr>
      <w:t xml:space="preserve"> and </w:t>
    </w:r>
    <w:r w:rsidR="00B06BD8" w:rsidRPr="00200739">
      <w:rPr>
        <w:rFonts w:cs="Tahoma" w:hint="eastAsia"/>
        <w:color w:val="808080"/>
        <w:sz w:val="18"/>
        <w:szCs w:val="16"/>
      </w:rPr>
      <w:t xml:space="preserve">Appeals </w:t>
    </w:r>
    <w:r w:rsidR="0064231A" w:rsidRPr="00200739">
      <w:rPr>
        <w:rFonts w:cs="Tahoma"/>
        <w:color w:val="808080"/>
        <w:sz w:val="18"/>
        <w:szCs w:val="16"/>
      </w:rPr>
      <w:t xml:space="preserve">Handling </w:t>
    </w:r>
    <w:r w:rsidRPr="00200739">
      <w:rPr>
        <w:rFonts w:cs="Tahoma"/>
        <w:color w:val="808080"/>
        <w:sz w:val="18"/>
        <w:szCs w:val="16"/>
      </w:rPr>
      <w:tab/>
      <w:t xml:space="preserve"> </w:t>
    </w:r>
    <w:r w:rsidR="000F709B" w:rsidRPr="00200739">
      <w:rPr>
        <w:rFonts w:cs="Tahoma"/>
        <w:color w:val="808080"/>
        <w:sz w:val="18"/>
        <w:szCs w:val="16"/>
      </w:rPr>
      <w:t>v</w:t>
    </w:r>
    <w:r w:rsidR="00200739" w:rsidRPr="00200739">
      <w:rPr>
        <w:rFonts w:cs="Tahoma"/>
        <w:color w:val="808080"/>
        <w:sz w:val="18"/>
        <w:szCs w:val="16"/>
      </w:rPr>
      <w:t>3.</w:t>
    </w:r>
    <w:r w:rsidR="00935AE6">
      <w:rPr>
        <w:rFonts w:cs="Tahoma"/>
        <w:color w:val="808080"/>
        <w:sz w:val="18"/>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5DB"/>
    <w:multiLevelType w:val="hybridMultilevel"/>
    <w:tmpl w:val="4E6605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576D3"/>
    <w:multiLevelType w:val="hybridMultilevel"/>
    <w:tmpl w:val="C2525D0E"/>
    <w:lvl w:ilvl="0" w:tplc="82D211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EF3EF8"/>
    <w:multiLevelType w:val="hybridMultilevel"/>
    <w:tmpl w:val="FB8E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0318B"/>
    <w:multiLevelType w:val="multilevel"/>
    <w:tmpl w:val="041E5E02"/>
    <w:lvl w:ilvl="0">
      <w:start w:val="1"/>
      <w:numFmt w:val="decimal"/>
      <w:lvlText w:val="%1.0"/>
      <w:lvlJc w:val="left"/>
      <w:pPr>
        <w:ind w:left="892" w:hanging="540"/>
      </w:pPr>
      <w:rPr>
        <w:rFonts w:hint="default"/>
      </w:rPr>
    </w:lvl>
    <w:lvl w:ilvl="1">
      <w:start w:val="1"/>
      <w:numFmt w:val="decimal"/>
      <w:lvlText w:val="%1.%2"/>
      <w:lvlJc w:val="left"/>
      <w:pPr>
        <w:ind w:left="1612" w:hanging="54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592" w:hanging="108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392" w:hanging="1440"/>
      </w:pPr>
      <w:rPr>
        <w:rFonts w:hint="default"/>
      </w:rPr>
    </w:lvl>
    <w:lvl w:ilvl="6">
      <w:start w:val="1"/>
      <w:numFmt w:val="decimal"/>
      <w:lvlText w:val="%1.%2.%3.%4.%5.%6.%7"/>
      <w:lvlJc w:val="left"/>
      <w:pPr>
        <w:ind w:left="6112" w:hanging="1440"/>
      </w:pPr>
      <w:rPr>
        <w:rFonts w:hint="default"/>
      </w:rPr>
    </w:lvl>
    <w:lvl w:ilvl="7">
      <w:start w:val="1"/>
      <w:numFmt w:val="decimal"/>
      <w:lvlText w:val="%1.%2.%3.%4.%5.%6.%7.%8"/>
      <w:lvlJc w:val="left"/>
      <w:pPr>
        <w:ind w:left="7192" w:hanging="1800"/>
      </w:pPr>
      <w:rPr>
        <w:rFonts w:hint="default"/>
      </w:rPr>
    </w:lvl>
    <w:lvl w:ilvl="8">
      <w:start w:val="1"/>
      <w:numFmt w:val="decimal"/>
      <w:lvlText w:val="%1.%2.%3.%4.%5.%6.%7.%8.%9"/>
      <w:lvlJc w:val="left"/>
      <w:pPr>
        <w:ind w:left="8272" w:hanging="2160"/>
      </w:pPr>
      <w:rPr>
        <w:rFonts w:hint="default"/>
      </w:rPr>
    </w:lvl>
  </w:abstractNum>
  <w:abstractNum w:abstractNumId="4" w15:restartNumberingAfterBreak="0">
    <w:nsid w:val="0E503B7B"/>
    <w:multiLevelType w:val="hybridMultilevel"/>
    <w:tmpl w:val="2C82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33A81"/>
    <w:multiLevelType w:val="hybridMultilevel"/>
    <w:tmpl w:val="416C2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91DCE"/>
    <w:multiLevelType w:val="hybridMultilevel"/>
    <w:tmpl w:val="24B0E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7C35EF"/>
    <w:multiLevelType w:val="hybridMultilevel"/>
    <w:tmpl w:val="C12AE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42282"/>
    <w:multiLevelType w:val="hybridMultilevel"/>
    <w:tmpl w:val="0FA2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352E0"/>
    <w:multiLevelType w:val="hybridMultilevel"/>
    <w:tmpl w:val="528C3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40AE8"/>
    <w:multiLevelType w:val="multilevel"/>
    <w:tmpl w:val="10500E90"/>
    <w:lvl w:ilvl="0">
      <w:start w:val="1"/>
      <w:numFmt w:val="bullet"/>
      <w:lvlText w:val=""/>
      <w:lvlJc w:val="left"/>
      <w:pPr>
        <w:ind w:left="1152" w:hanging="432"/>
      </w:pPr>
      <w:rPr>
        <w:rFonts w:ascii="Symbol" w:hAnsi="Symbol" w:hint="default"/>
      </w:rPr>
    </w:lvl>
    <w:lvl w:ilvl="1">
      <w:start w:val="1"/>
      <w:numFmt w:val="decimal"/>
      <w:lvlText w:val="%1.%2"/>
      <w:lvlJc w:val="left"/>
      <w:pPr>
        <w:ind w:left="1296" w:hanging="576"/>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1" w15:restartNumberingAfterBreak="0">
    <w:nsid w:val="24BC77E8"/>
    <w:multiLevelType w:val="hybridMultilevel"/>
    <w:tmpl w:val="C652DD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F526B1"/>
    <w:multiLevelType w:val="hybridMultilevel"/>
    <w:tmpl w:val="0BA63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F1520"/>
    <w:multiLevelType w:val="hybridMultilevel"/>
    <w:tmpl w:val="D192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70F23"/>
    <w:multiLevelType w:val="hybridMultilevel"/>
    <w:tmpl w:val="ABDC8D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2703A"/>
    <w:multiLevelType w:val="hybridMultilevel"/>
    <w:tmpl w:val="CB8C3954"/>
    <w:lvl w:ilvl="0" w:tplc="1EE2187A">
      <w:start w:val="1"/>
      <w:numFmt w:val="decimal"/>
      <w:lvlText w:val="%1."/>
      <w:lvlJc w:val="left"/>
      <w:pPr>
        <w:ind w:left="360" w:hanging="360"/>
      </w:pPr>
      <w:rPr>
        <w:rFonts w:hint="default"/>
      </w:rPr>
    </w:lvl>
    <w:lvl w:ilvl="1" w:tplc="BAC227B4">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AB5419"/>
    <w:multiLevelType w:val="multilevel"/>
    <w:tmpl w:val="22E634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F3C2B"/>
    <w:multiLevelType w:val="hybridMultilevel"/>
    <w:tmpl w:val="17C8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80F2A"/>
    <w:multiLevelType w:val="hybridMultilevel"/>
    <w:tmpl w:val="DAF481BE"/>
    <w:lvl w:ilvl="0" w:tplc="82D211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4632FE"/>
    <w:multiLevelType w:val="hybridMultilevel"/>
    <w:tmpl w:val="08C0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07C54"/>
    <w:multiLevelType w:val="hybridMultilevel"/>
    <w:tmpl w:val="F7842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84F59"/>
    <w:multiLevelType w:val="multilevel"/>
    <w:tmpl w:val="22E634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2071C0C"/>
    <w:multiLevelType w:val="hybridMultilevel"/>
    <w:tmpl w:val="BC4AEFAC"/>
    <w:lvl w:ilvl="0" w:tplc="28828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513E12"/>
    <w:multiLevelType w:val="multilevel"/>
    <w:tmpl w:val="22E634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ind w:left="864" w:hanging="864"/>
      </w:pPr>
      <w:rPr>
        <w:rFonts w:hint="default"/>
        <w:b w:val="0"/>
        <w:color w:val="0000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5862F81"/>
    <w:multiLevelType w:val="hybridMultilevel"/>
    <w:tmpl w:val="279A9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27" w15:restartNumberingAfterBreak="0">
    <w:nsid w:val="57FD60AD"/>
    <w:multiLevelType w:val="hybridMultilevel"/>
    <w:tmpl w:val="7C5EB41A"/>
    <w:lvl w:ilvl="0" w:tplc="1EE21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882D12"/>
    <w:multiLevelType w:val="hybridMultilevel"/>
    <w:tmpl w:val="912A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F4261"/>
    <w:multiLevelType w:val="hybridMultilevel"/>
    <w:tmpl w:val="AED8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43352"/>
    <w:multiLevelType w:val="hybridMultilevel"/>
    <w:tmpl w:val="29AE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40459"/>
    <w:multiLevelType w:val="multilevel"/>
    <w:tmpl w:val="71CC3D4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59B2674"/>
    <w:multiLevelType w:val="hybridMultilevel"/>
    <w:tmpl w:val="6312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10B7BCC"/>
    <w:multiLevelType w:val="hybridMultilevel"/>
    <w:tmpl w:val="422AB7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940701"/>
    <w:multiLevelType w:val="hybridMultilevel"/>
    <w:tmpl w:val="AABA48F0"/>
    <w:lvl w:ilvl="0" w:tplc="1EE21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1419C2"/>
    <w:multiLevelType w:val="hybridMultilevel"/>
    <w:tmpl w:val="D8689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2"/>
  </w:num>
  <w:num w:numId="3">
    <w:abstractNumId w:val="31"/>
  </w:num>
  <w:num w:numId="4">
    <w:abstractNumId w:val="13"/>
  </w:num>
  <w:num w:numId="5">
    <w:abstractNumId w:val="7"/>
  </w:num>
  <w:num w:numId="6">
    <w:abstractNumId w:val="21"/>
  </w:num>
  <w:num w:numId="7">
    <w:abstractNumId w:val="9"/>
  </w:num>
  <w:num w:numId="8">
    <w:abstractNumId w:val="2"/>
  </w:num>
  <w:num w:numId="9">
    <w:abstractNumId w:val="33"/>
  </w:num>
  <w:num w:numId="10">
    <w:abstractNumId w:val="35"/>
  </w:num>
  <w:num w:numId="11">
    <w:abstractNumId w:val="20"/>
  </w:num>
  <w:num w:numId="12">
    <w:abstractNumId w:val="15"/>
  </w:num>
  <w:num w:numId="13">
    <w:abstractNumId w:val="27"/>
  </w:num>
  <w:num w:numId="14">
    <w:abstractNumId w:val="36"/>
  </w:num>
  <w:num w:numId="15">
    <w:abstractNumId w:val="1"/>
  </w:num>
  <w:num w:numId="16">
    <w:abstractNumId w:val="19"/>
  </w:num>
  <w:num w:numId="17">
    <w:abstractNumId w:val="3"/>
  </w:num>
  <w:num w:numId="18">
    <w:abstractNumId w:val="14"/>
  </w:num>
  <w:num w:numId="19">
    <w:abstractNumId w:val="11"/>
  </w:num>
  <w:num w:numId="20">
    <w:abstractNumId w:val="8"/>
  </w:num>
  <w:num w:numId="21">
    <w:abstractNumId w:val="5"/>
  </w:num>
  <w:num w:numId="22">
    <w:abstractNumId w:val="37"/>
  </w:num>
  <w:num w:numId="23">
    <w:abstractNumId w:val="12"/>
  </w:num>
  <w:num w:numId="24">
    <w:abstractNumId w:val="2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1"/>
  </w:num>
  <w:num w:numId="28">
    <w:abstractNumId w:val="31"/>
  </w:num>
  <w:num w:numId="29">
    <w:abstractNumId w:val="31"/>
  </w:num>
  <w:num w:numId="30">
    <w:abstractNumId w:val="29"/>
  </w:num>
  <w:num w:numId="31">
    <w:abstractNumId w:val="24"/>
  </w:num>
  <w:num w:numId="32">
    <w:abstractNumId w:val="26"/>
  </w:num>
  <w:num w:numId="33">
    <w:abstractNumId w:val="28"/>
  </w:num>
  <w:num w:numId="34">
    <w:abstractNumId w:val="18"/>
  </w:num>
  <w:num w:numId="35">
    <w:abstractNumId w:val="30"/>
  </w:num>
  <w:num w:numId="36">
    <w:abstractNumId w:val="0"/>
  </w:num>
  <w:num w:numId="37">
    <w:abstractNumId w:val="31"/>
  </w:num>
  <w:num w:numId="38">
    <w:abstractNumId w:val="3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6"/>
  </w:num>
  <w:num w:numId="42">
    <w:abstractNumId w:val="31"/>
  </w:num>
  <w:num w:numId="43">
    <w:abstractNumId w:val="22"/>
  </w:num>
  <w:num w:numId="44">
    <w:abstractNumId w:val="10"/>
  </w:num>
  <w:num w:numId="45">
    <w:abstractNumId w:val="31"/>
  </w:num>
  <w:num w:numId="46">
    <w:abstractNumId w:val="31"/>
  </w:num>
  <w:num w:numId="47">
    <w:abstractNumId w:val="6"/>
  </w:num>
  <w:num w:numId="48">
    <w:abstractNumId w:val="25"/>
  </w:num>
  <w:num w:numId="4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5B65"/>
    <w:rsid w:val="00007F10"/>
    <w:rsid w:val="000144E1"/>
    <w:rsid w:val="0001571C"/>
    <w:rsid w:val="00036FD2"/>
    <w:rsid w:val="000406E8"/>
    <w:rsid w:val="00041244"/>
    <w:rsid w:val="00041D5F"/>
    <w:rsid w:val="00064C33"/>
    <w:rsid w:val="00066746"/>
    <w:rsid w:val="000718EC"/>
    <w:rsid w:val="00083CF3"/>
    <w:rsid w:val="000901C3"/>
    <w:rsid w:val="000968F7"/>
    <w:rsid w:val="000A7A65"/>
    <w:rsid w:val="000B27ED"/>
    <w:rsid w:val="000B6E66"/>
    <w:rsid w:val="000D5CB4"/>
    <w:rsid w:val="000F3A9F"/>
    <w:rsid w:val="000F709B"/>
    <w:rsid w:val="00101263"/>
    <w:rsid w:val="001046A4"/>
    <w:rsid w:val="00112EBD"/>
    <w:rsid w:val="0011373A"/>
    <w:rsid w:val="001237C2"/>
    <w:rsid w:val="001257D9"/>
    <w:rsid w:val="00131CE0"/>
    <w:rsid w:val="0013629C"/>
    <w:rsid w:val="00146801"/>
    <w:rsid w:val="00155CB0"/>
    <w:rsid w:val="00161282"/>
    <w:rsid w:val="00165DCF"/>
    <w:rsid w:val="00167120"/>
    <w:rsid w:val="001760D1"/>
    <w:rsid w:val="00177590"/>
    <w:rsid w:val="00182338"/>
    <w:rsid w:val="00186722"/>
    <w:rsid w:val="001A4B6D"/>
    <w:rsid w:val="001A57B2"/>
    <w:rsid w:val="001B0316"/>
    <w:rsid w:val="001B0548"/>
    <w:rsid w:val="001B0F05"/>
    <w:rsid w:val="001C2513"/>
    <w:rsid w:val="001C5CD8"/>
    <w:rsid w:val="001C7CA6"/>
    <w:rsid w:val="001D0A60"/>
    <w:rsid w:val="001D453A"/>
    <w:rsid w:val="001D48A6"/>
    <w:rsid w:val="001D6E77"/>
    <w:rsid w:val="001E2EB1"/>
    <w:rsid w:val="001F66CA"/>
    <w:rsid w:val="00200739"/>
    <w:rsid w:val="00214631"/>
    <w:rsid w:val="0021609F"/>
    <w:rsid w:val="00221489"/>
    <w:rsid w:val="002316F0"/>
    <w:rsid w:val="0023483F"/>
    <w:rsid w:val="0025009B"/>
    <w:rsid w:val="00253A12"/>
    <w:rsid w:val="00263F5C"/>
    <w:rsid w:val="00267EA5"/>
    <w:rsid w:val="0027475A"/>
    <w:rsid w:val="0027773B"/>
    <w:rsid w:val="0029237F"/>
    <w:rsid w:val="002A0498"/>
    <w:rsid w:val="002A4856"/>
    <w:rsid w:val="002B232C"/>
    <w:rsid w:val="002B697E"/>
    <w:rsid w:val="002B69A6"/>
    <w:rsid w:val="002B77E6"/>
    <w:rsid w:val="002C0A4B"/>
    <w:rsid w:val="002C68D0"/>
    <w:rsid w:val="002D6382"/>
    <w:rsid w:val="002D7B4C"/>
    <w:rsid w:val="002E0D71"/>
    <w:rsid w:val="002F03E4"/>
    <w:rsid w:val="002F3D14"/>
    <w:rsid w:val="002F3DEC"/>
    <w:rsid w:val="003016A8"/>
    <w:rsid w:val="00301799"/>
    <w:rsid w:val="003038A6"/>
    <w:rsid w:val="00310C88"/>
    <w:rsid w:val="003136EF"/>
    <w:rsid w:val="00321083"/>
    <w:rsid w:val="0032217C"/>
    <w:rsid w:val="003379E0"/>
    <w:rsid w:val="00346C5D"/>
    <w:rsid w:val="00351E0E"/>
    <w:rsid w:val="00355586"/>
    <w:rsid w:val="00373C82"/>
    <w:rsid w:val="00377A05"/>
    <w:rsid w:val="003828ED"/>
    <w:rsid w:val="0039466A"/>
    <w:rsid w:val="003A768E"/>
    <w:rsid w:val="003B2BD8"/>
    <w:rsid w:val="003B7362"/>
    <w:rsid w:val="003E1CFD"/>
    <w:rsid w:val="003E29D8"/>
    <w:rsid w:val="003E6EC7"/>
    <w:rsid w:val="003F4BA9"/>
    <w:rsid w:val="00413C2D"/>
    <w:rsid w:val="0041622A"/>
    <w:rsid w:val="004202C0"/>
    <w:rsid w:val="00430277"/>
    <w:rsid w:val="004303DA"/>
    <w:rsid w:val="004349E0"/>
    <w:rsid w:val="00436DF9"/>
    <w:rsid w:val="00441388"/>
    <w:rsid w:val="00443BCB"/>
    <w:rsid w:val="00450DC3"/>
    <w:rsid w:val="004527FC"/>
    <w:rsid w:val="00457D8D"/>
    <w:rsid w:val="004715C4"/>
    <w:rsid w:val="00471A5F"/>
    <w:rsid w:val="00475B80"/>
    <w:rsid w:val="0047746A"/>
    <w:rsid w:val="004861E1"/>
    <w:rsid w:val="00487577"/>
    <w:rsid w:val="00487BB8"/>
    <w:rsid w:val="0049025F"/>
    <w:rsid w:val="004913D2"/>
    <w:rsid w:val="004A2FB2"/>
    <w:rsid w:val="004B26E7"/>
    <w:rsid w:val="004B387E"/>
    <w:rsid w:val="004D0B64"/>
    <w:rsid w:val="004E326F"/>
    <w:rsid w:val="004E68DE"/>
    <w:rsid w:val="004F16A5"/>
    <w:rsid w:val="005104FF"/>
    <w:rsid w:val="00511EA2"/>
    <w:rsid w:val="005440C5"/>
    <w:rsid w:val="00547FB7"/>
    <w:rsid w:val="00552A77"/>
    <w:rsid w:val="00556DCD"/>
    <w:rsid w:val="0056185F"/>
    <w:rsid w:val="00573761"/>
    <w:rsid w:val="00574EDC"/>
    <w:rsid w:val="00577937"/>
    <w:rsid w:val="00591AC5"/>
    <w:rsid w:val="005936D5"/>
    <w:rsid w:val="0059447E"/>
    <w:rsid w:val="00595B15"/>
    <w:rsid w:val="00597494"/>
    <w:rsid w:val="005A1ADD"/>
    <w:rsid w:val="005A24AD"/>
    <w:rsid w:val="005A42A4"/>
    <w:rsid w:val="005A620C"/>
    <w:rsid w:val="005B4B62"/>
    <w:rsid w:val="005C17B9"/>
    <w:rsid w:val="005C6375"/>
    <w:rsid w:val="005D4295"/>
    <w:rsid w:val="005D6DEC"/>
    <w:rsid w:val="005E00B4"/>
    <w:rsid w:val="005E4685"/>
    <w:rsid w:val="005F1AC3"/>
    <w:rsid w:val="005F32C9"/>
    <w:rsid w:val="005F48F9"/>
    <w:rsid w:val="00600990"/>
    <w:rsid w:val="00613CC3"/>
    <w:rsid w:val="0061639B"/>
    <w:rsid w:val="0063189A"/>
    <w:rsid w:val="00633889"/>
    <w:rsid w:val="006377B0"/>
    <w:rsid w:val="0064231A"/>
    <w:rsid w:val="00650937"/>
    <w:rsid w:val="00651756"/>
    <w:rsid w:val="00656291"/>
    <w:rsid w:val="0065673D"/>
    <w:rsid w:val="00661F3C"/>
    <w:rsid w:val="0066306F"/>
    <w:rsid w:val="0066353E"/>
    <w:rsid w:val="00670A42"/>
    <w:rsid w:val="006713AE"/>
    <w:rsid w:val="006752E1"/>
    <w:rsid w:val="00675D43"/>
    <w:rsid w:val="006807B4"/>
    <w:rsid w:val="006875C8"/>
    <w:rsid w:val="00694298"/>
    <w:rsid w:val="0069627E"/>
    <w:rsid w:val="006A054E"/>
    <w:rsid w:val="006A36AA"/>
    <w:rsid w:val="006A5D18"/>
    <w:rsid w:val="006C1911"/>
    <w:rsid w:val="006C533B"/>
    <w:rsid w:val="006D2646"/>
    <w:rsid w:val="006D40CF"/>
    <w:rsid w:val="006E202D"/>
    <w:rsid w:val="006F1E75"/>
    <w:rsid w:val="006F2388"/>
    <w:rsid w:val="006F2522"/>
    <w:rsid w:val="006F6EE1"/>
    <w:rsid w:val="0070759F"/>
    <w:rsid w:val="0072048B"/>
    <w:rsid w:val="00722787"/>
    <w:rsid w:val="007373C9"/>
    <w:rsid w:val="00737E22"/>
    <w:rsid w:val="0074451B"/>
    <w:rsid w:val="0074528A"/>
    <w:rsid w:val="0075228C"/>
    <w:rsid w:val="00755FF0"/>
    <w:rsid w:val="0076106C"/>
    <w:rsid w:val="00766062"/>
    <w:rsid w:val="0077334A"/>
    <w:rsid w:val="007738D9"/>
    <w:rsid w:val="007803B4"/>
    <w:rsid w:val="00785108"/>
    <w:rsid w:val="00785D8C"/>
    <w:rsid w:val="007870A5"/>
    <w:rsid w:val="007871F8"/>
    <w:rsid w:val="00791A8D"/>
    <w:rsid w:val="007953F6"/>
    <w:rsid w:val="00797D8C"/>
    <w:rsid w:val="00797F28"/>
    <w:rsid w:val="007A4AC0"/>
    <w:rsid w:val="007B226D"/>
    <w:rsid w:val="007D20D5"/>
    <w:rsid w:val="007D3AA6"/>
    <w:rsid w:val="007E4EBB"/>
    <w:rsid w:val="007F3F39"/>
    <w:rsid w:val="00803419"/>
    <w:rsid w:val="00803E8B"/>
    <w:rsid w:val="008050F8"/>
    <w:rsid w:val="008111D2"/>
    <w:rsid w:val="008175F6"/>
    <w:rsid w:val="008239AA"/>
    <w:rsid w:val="00825474"/>
    <w:rsid w:val="00826D8F"/>
    <w:rsid w:val="00837A19"/>
    <w:rsid w:val="00845AD5"/>
    <w:rsid w:val="0084696A"/>
    <w:rsid w:val="00847E24"/>
    <w:rsid w:val="008540DA"/>
    <w:rsid w:val="00856905"/>
    <w:rsid w:val="008577D2"/>
    <w:rsid w:val="00861837"/>
    <w:rsid w:val="008629FB"/>
    <w:rsid w:val="00863274"/>
    <w:rsid w:val="00865380"/>
    <w:rsid w:val="008715EA"/>
    <w:rsid w:val="00871FB4"/>
    <w:rsid w:val="00872D7A"/>
    <w:rsid w:val="008834EC"/>
    <w:rsid w:val="008852CA"/>
    <w:rsid w:val="00885D72"/>
    <w:rsid w:val="008926FB"/>
    <w:rsid w:val="00892FBC"/>
    <w:rsid w:val="00894E7A"/>
    <w:rsid w:val="008A06E7"/>
    <w:rsid w:val="008A53BD"/>
    <w:rsid w:val="008B2322"/>
    <w:rsid w:val="008B7B03"/>
    <w:rsid w:val="008C5E0F"/>
    <w:rsid w:val="008C6FFF"/>
    <w:rsid w:val="008D0707"/>
    <w:rsid w:val="008D7F75"/>
    <w:rsid w:val="008E2CB5"/>
    <w:rsid w:val="008F001F"/>
    <w:rsid w:val="00935AE6"/>
    <w:rsid w:val="0094109C"/>
    <w:rsid w:val="009577AF"/>
    <w:rsid w:val="00957DB8"/>
    <w:rsid w:val="00961325"/>
    <w:rsid w:val="00963A85"/>
    <w:rsid w:val="009A58C1"/>
    <w:rsid w:val="009B038A"/>
    <w:rsid w:val="009B27F8"/>
    <w:rsid w:val="009B4FF5"/>
    <w:rsid w:val="009C1860"/>
    <w:rsid w:val="009D7511"/>
    <w:rsid w:val="009D7C4E"/>
    <w:rsid w:val="009E3C9E"/>
    <w:rsid w:val="009F179E"/>
    <w:rsid w:val="009F52C9"/>
    <w:rsid w:val="00A0021C"/>
    <w:rsid w:val="00A01006"/>
    <w:rsid w:val="00A05DE9"/>
    <w:rsid w:val="00A11C49"/>
    <w:rsid w:val="00A24AEA"/>
    <w:rsid w:val="00A25EEA"/>
    <w:rsid w:val="00A27C4B"/>
    <w:rsid w:val="00A309AF"/>
    <w:rsid w:val="00A35798"/>
    <w:rsid w:val="00A40155"/>
    <w:rsid w:val="00A41159"/>
    <w:rsid w:val="00A44AE4"/>
    <w:rsid w:val="00A5550D"/>
    <w:rsid w:val="00A55E7D"/>
    <w:rsid w:val="00A577FE"/>
    <w:rsid w:val="00A61EF3"/>
    <w:rsid w:val="00A6734A"/>
    <w:rsid w:val="00A67366"/>
    <w:rsid w:val="00A72CFC"/>
    <w:rsid w:val="00A72EEE"/>
    <w:rsid w:val="00A965EA"/>
    <w:rsid w:val="00AA17EC"/>
    <w:rsid w:val="00AA50CF"/>
    <w:rsid w:val="00AB6742"/>
    <w:rsid w:val="00AC085D"/>
    <w:rsid w:val="00AC372E"/>
    <w:rsid w:val="00AC64A4"/>
    <w:rsid w:val="00AD30D5"/>
    <w:rsid w:val="00AE25CF"/>
    <w:rsid w:val="00AE3A43"/>
    <w:rsid w:val="00AE41DF"/>
    <w:rsid w:val="00AF200C"/>
    <w:rsid w:val="00AF7CF9"/>
    <w:rsid w:val="00B06BD8"/>
    <w:rsid w:val="00B108DE"/>
    <w:rsid w:val="00B275FA"/>
    <w:rsid w:val="00B376D5"/>
    <w:rsid w:val="00B37D99"/>
    <w:rsid w:val="00B60B6D"/>
    <w:rsid w:val="00B67D64"/>
    <w:rsid w:val="00B71D53"/>
    <w:rsid w:val="00B72568"/>
    <w:rsid w:val="00B729EE"/>
    <w:rsid w:val="00B75AF7"/>
    <w:rsid w:val="00B77B90"/>
    <w:rsid w:val="00B80B1E"/>
    <w:rsid w:val="00B83F05"/>
    <w:rsid w:val="00BA7AD2"/>
    <w:rsid w:val="00BB040F"/>
    <w:rsid w:val="00BB1783"/>
    <w:rsid w:val="00BB580A"/>
    <w:rsid w:val="00BB7DC6"/>
    <w:rsid w:val="00BC442F"/>
    <w:rsid w:val="00BC449C"/>
    <w:rsid w:val="00BC6B48"/>
    <w:rsid w:val="00BC7CA2"/>
    <w:rsid w:val="00BD1E3A"/>
    <w:rsid w:val="00BD4CEF"/>
    <w:rsid w:val="00BD622B"/>
    <w:rsid w:val="00BD661B"/>
    <w:rsid w:val="00BE2EBF"/>
    <w:rsid w:val="00BF1140"/>
    <w:rsid w:val="00BF1B2F"/>
    <w:rsid w:val="00C02730"/>
    <w:rsid w:val="00C128AF"/>
    <w:rsid w:val="00C22C7F"/>
    <w:rsid w:val="00C32073"/>
    <w:rsid w:val="00C341A3"/>
    <w:rsid w:val="00C476A3"/>
    <w:rsid w:val="00C47D58"/>
    <w:rsid w:val="00C54274"/>
    <w:rsid w:val="00C63FD9"/>
    <w:rsid w:val="00C734EF"/>
    <w:rsid w:val="00C87209"/>
    <w:rsid w:val="00C911C6"/>
    <w:rsid w:val="00C9335B"/>
    <w:rsid w:val="00C954D9"/>
    <w:rsid w:val="00CA245F"/>
    <w:rsid w:val="00CA7F67"/>
    <w:rsid w:val="00CB1FDA"/>
    <w:rsid w:val="00CB234F"/>
    <w:rsid w:val="00CC0A2A"/>
    <w:rsid w:val="00CC4921"/>
    <w:rsid w:val="00CC51E5"/>
    <w:rsid w:val="00CC6BDE"/>
    <w:rsid w:val="00CD6264"/>
    <w:rsid w:val="00CE1DD4"/>
    <w:rsid w:val="00CE213B"/>
    <w:rsid w:val="00CE5644"/>
    <w:rsid w:val="00D13747"/>
    <w:rsid w:val="00D13C9F"/>
    <w:rsid w:val="00D14445"/>
    <w:rsid w:val="00D30A07"/>
    <w:rsid w:val="00D3253C"/>
    <w:rsid w:val="00D349EA"/>
    <w:rsid w:val="00D43999"/>
    <w:rsid w:val="00D44E3B"/>
    <w:rsid w:val="00D45273"/>
    <w:rsid w:val="00D55F53"/>
    <w:rsid w:val="00D63FCE"/>
    <w:rsid w:val="00D76342"/>
    <w:rsid w:val="00D808FD"/>
    <w:rsid w:val="00D91A19"/>
    <w:rsid w:val="00D97EDB"/>
    <w:rsid w:val="00DA0AB0"/>
    <w:rsid w:val="00DA0BEF"/>
    <w:rsid w:val="00DB3C61"/>
    <w:rsid w:val="00DC433A"/>
    <w:rsid w:val="00DC7E4A"/>
    <w:rsid w:val="00DD09B1"/>
    <w:rsid w:val="00DD2371"/>
    <w:rsid w:val="00DD6850"/>
    <w:rsid w:val="00DE1A9F"/>
    <w:rsid w:val="00DE5D4C"/>
    <w:rsid w:val="00DE6132"/>
    <w:rsid w:val="00DF19F5"/>
    <w:rsid w:val="00DF43C1"/>
    <w:rsid w:val="00E07862"/>
    <w:rsid w:val="00E07F64"/>
    <w:rsid w:val="00E114ED"/>
    <w:rsid w:val="00E205FF"/>
    <w:rsid w:val="00E23E8E"/>
    <w:rsid w:val="00E276BF"/>
    <w:rsid w:val="00E3203F"/>
    <w:rsid w:val="00E32BC3"/>
    <w:rsid w:val="00E369B3"/>
    <w:rsid w:val="00E45FA0"/>
    <w:rsid w:val="00E463FD"/>
    <w:rsid w:val="00E52F0C"/>
    <w:rsid w:val="00E53C32"/>
    <w:rsid w:val="00E565A7"/>
    <w:rsid w:val="00E6017F"/>
    <w:rsid w:val="00E61EEB"/>
    <w:rsid w:val="00E6550C"/>
    <w:rsid w:val="00E67293"/>
    <w:rsid w:val="00E73FE5"/>
    <w:rsid w:val="00E74245"/>
    <w:rsid w:val="00E75677"/>
    <w:rsid w:val="00E774E7"/>
    <w:rsid w:val="00E82D86"/>
    <w:rsid w:val="00EA40BA"/>
    <w:rsid w:val="00EB4F88"/>
    <w:rsid w:val="00EC63C4"/>
    <w:rsid w:val="00ED35EF"/>
    <w:rsid w:val="00ED388A"/>
    <w:rsid w:val="00ED4347"/>
    <w:rsid w:val="00ED6E77"/>
    <w:rsid w:val="00EE42FF"/>
    <w:rsid w:val="00EE5771"/>
    <w:rsid w:val="00EE7378"/>
    <w:rsid w:val="00EF14D5"/>
    <w:rsid w:val="00EF1806"/>
    <w:rsid w:val="00EF584F"/>
    <w:rsid w:val="00F00F44"/>
    <w:rsid w:val="00F2301F"/>
    <w:rsid w:val="00F369FF"/>
    <w:rsid w:val="00F42238"/>
    <w:rsid w:val="00F51CAB"/>
    <w:rsid w:val="00F51EE9"/>
    <w:rsid w:val="00F67731"/>
    <w:rsid w:val="00F85018"/>
    <w:rsid w:val="00F9218C"/>
    <w:rsid w:val="00FA6C9F"/>
    <w:rsid w:val="00FB32DA"/>
    <w:rsid w:val="00FB3FA2"/>
    <w:rsid w:val="00FC189E"/>
    <w:rsid w:val="00FC69A4"/>
    <w:rsid w:val="00FD3492"/>
    <w:rsid w:val="00FD656A"/>
    <w:rsid w:val="00FD7522"/>
    <w:rsid w:val="00FE3B8D"/>
    <w:rsid w:val="00FE5DEE"/>
    <w:rsid w:val="00FE69E7"/>
    <w:rsid w:val="00FF5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AD736"/>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sid w:val="001D6E77"/>
    <w:rPr>
      <w:rFonts w:ascii="Arial" w:hAnsi="Arial" w:cs="Arial"/>
      <w:color w:val="003400"/>
      <w:szCs w:val="2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785108"/>
    <w:pPr>
      <w:tabs>
        <w:tab w:val="left" w:pos="284"/>
        <w:tab w:val="right" w:leader="dot" w:pos="9029"/>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200739"/>
    <w:pPr>
      <w:keepNext/>
      <w:keepLines/>
      <w:pageBreakBefore/>
      <w:spacing w:after="240"/>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99"/>
    <w:qFormat/>
    <w:rsid w:val="00457D8D"/>
    <w:pPr>
      <w:ind w:left="720"/>
      <w:contextualSpacing/>
    </w:pPr>
  </w:style>
  <w:style w:type="paragraph" w:customStyle="1" w:styleId="5">
    <w:name w:val="標題.5"/>
    <w:basedOn w:val="Heading3"/>
    <w:qFormat/>
    <w:rsid w:val="001D453A"/>
    <w:pPr>
      <w:keepNext w:val="0"/>
      <w:widowControl w:val="0"/>
      <w:numPr>
        <w:ilvl w:val="4"/>
        <w:numId w:val="32"/>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paragraph" w:styleId="HTMLPreformatted">
    <w:name w:val="HTML Preformatted"/>
    <w:basedOn w:val="Normal"/>
    <w:link w:val="HTMLPreformattedChar"/>
    <w:uiPriority w:val="99"/>
    <w:semiHidden/>
    <w:unhideWhenUsed/>
    <w:rsid w:val="00AC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lang w:eastAsia="ja-JP"/>
    </w:rPr>
  </w:style>
  <w:style w:type="character" w:customStyle="1" w:styleId="HTMLPreformattedChar">
    <w:name w:val="HTML Preformatted Char"/>
    <w:basedOn w:val="DefaultParagraphFont"/>
    <w:link w:val="HTMLPreformatted"/>
    <w:uiPriority w:val="99"/>
    <w:semiHidden/>
    <w:rsid w:val="00AC64A4"/>
    <w:rPr>
      <w:rFonts w:ascii="Courier New" w:eastAsia="Times New Roman" w:hAnsi="Courier New" w:cs="Courier New"/>
      <w:lang w:eastAsia="ja-JP"/>
    </w:rPr>
  </w:style>
  <w:style w:type="character" w:customStyle="1" w:styleId="y2iqfc">
    <w:name w:val="y2iqfc"/>
    <w:basedOn w:val="DefaultParagraphFont"/>
    <w:rsid w:val="00AC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366">
      <w:bodyDiv w:val="1"/>
      <w:marLeft w:val="0"/>
      <w:marRight w:val="0"/>
      <w:marTop w:val="0"/>
      <w:marBottom w:val="0"/>
      <w:divBdr>
        <w:top w:val="none" w:sz="0" w:space="0" w:color="auto"/>
        <w:left w:val="none" w:sz="0" w:space="0" w:color="auto"/>
        <w:bottom w:val="none" w:sz="0" w:space="0" w:color="auto"/>
        <w:right w:val="none" w:sz="0" w:space="0" w:color="auto"/>
      </w:divBdr>
    </w:div>
    <w:div w:id="395788214">
      <w:bodyDiv w:val="1"/>
      <w:marLeft w:val="0"/>
      <w:marRight w:val="0"/>
      <w:marTop w:val="0"/>
      <w:marBottom w:val="0"/>
      <w:divBdr>
        <w:top w:val="none" w:sz="0" w:space="0" w:color="auto"/>
        <w:left w:val="none" w:sz="0" w:space="0" w:color="auto"/>
        <w:bottom w:val="none" w:sz="0" w:space="0" w:color="auto"/>
        <w:right w:val="none" w:sz="0" w:space="0" w:color="auto"/>
      </w:divBdr>
    </w:div>
    <w:div w:id="456610357">
      <w:bodyDiv w:val="1"/>
      <w:marLeft w:val="0"/>
      <w:marRight w:val="0"/>
      <w:marTop w:val="0"/>
      <w:marBottom w:val="0"/>
      <w:divBdr>
        <w:top w:val="none" w:sz="0" w:space="0" w:color="auto"/>
        <w:left w:val="none" w:sz="0" w:space="0" w:color="auto"/>
        <w:bottom w:val="none" w:sz="0" w:space="0" w:color="auto"/>
        <w:right w:val="none" w:sz="0" w:space="0" w:color="auto"/>
      </w:divBdr>
    </w:div>
    <w:div w:id="488132214">
      <w:bodyDiv w:val="1"/>
      <w:marLeft w:val="0"/>
      <w:marRight w:val="0"/>
      <w:marTop w:val="0"/>
      <w:marBottom w:val="0"/>
      <w:divBdr>
        <w:top w:val="none" w:sz="0" w:space="0" w:color="auto"/>
        <w:left w:val="none" w:sz="0" w:space="0" w:color="auto"/>
        <w:bottom w:val="none" w:sz="0" w:space="0" w:color="auto"/>
        <w:right w:val="none" w:sz="0" w:space="0" w:color="auto"/>
      </w:divBdr>
    </w:div>
    <w:div w:id="816993729">
      <w:bodyDiv w:val="1"/>
      <w:marLeft w:val="0"/>
      <w:marRight w:val="0"/>
      <w:marTop w:val="0"/>
      <w:marBottom w:val="0"/>
      <w:divBdr>
        <w:top w:val="none" w:sz="0" w:space="0" w:color="auto"/>
        <w:left w:val="none" w:sz="0" w:space="0" w:color="auto"/>
        <w:bottom w:val="none" w:sz="0" w:space="0" w:color="auto"/>
        <w:right w:val="none" w:sz="0" w:space="0" w:color="auto"/>
      </w:divBdr>
    </w:div>
    <w:div w:id="929584166">
      <w:bodyDiv w:val="1"/>
      <w:marLeft w:val="0"/>
      <w:marRight w:val="0"/>
      <w:marTop w:val="0"/>
      <w:marBottom w:val="0"/>
      <w:divBdr>
        <w:top w:val="none" w:sz="0" w:space="0" w:color="auto"/>
        <w:left w:val="none" w:sz="0" w:space="0" w:color="auto"/>
        <w:bottom w:val="none" w:sz="0" w:space="0" w:color="auto"/>
        <w:right w:val="none" w:sz="0" w:space="0" w:color="auto"/>
      </w:divBdr>
    </w:div>
    <w:div w:id="1022976635">
      <w:bodyDiv w:val="1"/>
      <w:marLeft w:val="0"/>
      <w:marRight w:val="0"/>
      <w:marTop w:val="0"/>
      <w:marBottom w:val="0"/>
      <w:divBdr>
        <w:top w:val="none" w:sz="0" w:space="0" w:color="auto"/>
        <w:left w:val="none" w:sz="0" w:space="0" w:color="auto"/>
        <w:bottom w:val="none" w:sz="0" w:space="0" w:color="auto"/>
        <w:right w:val="none" w:sz="0" w:space="0" w:color="auto"/>
      </w:divBdr>
    </w:div>
    <w:div w:id="1104350369">
      <w:bodyDiv w:val="1"/>
      <w:marLeft w:val="0"/>
      <w:marRight w:val="0"/>
      <w:marTop w:val="0"/>
      <w:marBottom w:val="0"/>
      <w:divBdr>
        <w:top w:val="none" w:sz="0" w:space="0" w:color="auto"/>
        <w:left w:val="none" w:sz="0" w:space="0" w:color="auto"/>
        <w:bottom w:val="none" w:sz="0" w:space="0" w:color="auto"/>
        <w:right w:val="none" w:sz="0" w:space="0" w:color="auto"/>
      </w:divBdr>
    </w:div>
    <w:div w:id="1358845768">
      <w:bodyDiv w:val="1"/>
      <w:marLeft w:val="0"/>
      <w:marRight w:val="0"/>
      <w:marTop w:val="0"/>
      <w:marBottom w:val="0"/>
      <w:divBdr>
        <w:top w:val="none" w:sz="0" w:space="0" w:color="auto"/>
        <w:left w:val="none" w:sz="0" w:space="0" w:color="auto"/>
        <w:bottom w:val="none" w:sz="0" w:space="0" w:color="auto"/>
        <w:right w:val="none" w:sz="0" w:space="0" w:color="auto"/>
      </w:divBdr>
    </w:div>
    <w:div w:id="1512791836">
      <w:bodyDiv w:val="1"/>
      <w:marLeft w:val="0"/>
      <w:marRight w:val="0"/>
      <w:marTop w:val="0"/>
      <w:marBottom w:val="0"/>
      <w:divBdr>
        <w:top w:val="none" w:sz="0" w:space="0" w:color="auto"/>
        <w:left w:val="none" w:sz="0" w:space="0" w:color="auto"/>
        <w:bottom w:val="none" w:sz="0" w:space="0" w:color="auto"/>
        <w:right w:val="none" w:sz="0" w:space="0" w:color="auto"/>
      </w:divBdr>
    </w:div>
    <w:div w:id="21251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9962-C0A9-4E93-A70E-A985721F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101</TotalTime>
  <Pages>17</Pages>
  <Words>4001</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26760</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13</cp:revision>
  <cp:lastPrinted>2010-10-01T09:12:00Z</cp:lastPrinted>
  <dcterms:created xsi:type="dcterms:W3CDTF">2022-11-02T06:28:00Z</dcterms:created>
  <dcterms:modified xsi:type="dcterms:W3CDTF">2022-11-22T08:29:00Z</dcterms:modified>
  <cp:category>Template</cp:category>
</cp:coreProperties>
</file>